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jpeg" ContentType="image/jpeg"/>
  <Override PartName="/word/media/image3.png" ContentType="image/png"/>
  <Override PartName="/word/media/image4.jpeg" ContentType="image/jpeg"/>
  <Override PartName="/word/media/image5.jpeg" ContentType="image/jpe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Standard"/>
        <w:rPr/>
      </w:pPr>
      <w:r>
        <w:rPr/>
        <w:drawing>
          <wp:anchor behindDoc="0" distT="0" distB="0" distL="114300" distR="122555" simplePos="0" locked="0" layoutInCell="1" allowOverlap="1" relativeHeight="2">
            <wp:simplePos x="0" y="0"/>
            <wp:positionH relativeFrom="column">
              <wp:posOffset>322580</wp:posOffset>
            </wp:positionH>
            <wp:positionV relativeFrom="paragraph">
              <wp:posOffset>1146810</wp:posOffset>
            </wp:positionV>
            <wp:extent cx="791845" cy="784860"/>
            <wp:effectExtent l="0" t="0" r="0" b="0"/>
            <wp:wrapSquare wrapText="bothSides"/>
            <wp:docPr id="1" name="Image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3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845" cy="784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114300" distR="114300" simplePos="0" locked="0" layoutInCell="1" allowOverlap="1" relativeHeight="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918210" cy="1148715"/>
            <wp:effectExtent l="0" t="0" r="0" b="0"/>
            <wp:wrapTopAndBottom/>
            <wp:docPr id="2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210" cy="1148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1270" distL="114300" distR="114300" simplePos="0" locked="0" layoutInCell="1" allowOverlap="1" relativeHeight="5">
            <wp:simplePos x="0" y="0"/>
            <wp:positionH relativeFrom="column">
              <wp:posOffset>185420</wp:posOffset>
            </wp:positionH>
            <wp:positionV relativeFrom="paragraph">
              <wp:posOffset>95250</wp:posOffset>
            </wp:positionV>
            <wp:extent cx="996950" cy="875030"/>
            <wp:effectExtent l="0" t="0" r="0" b="0"/>
            <wp:wrapSquare wrapText="bothSides"/>
            <wp:docPr id="3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950" cy="875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jc w:val="center"/>
        <w:rPr>
          <w:b/>
          <w:b/>
          <w:color w:val="7030A0"/>
          <w:sz w:val="36"/>
          <w:lang w:eastAsia="fr-FR"/>
        </w:rPr>
      </w:pPr>
      <w:r>
        <w:rPr>
          <w:b/>
          <w:color w:val="7030A0"/>
          <w:sz w:val="36"/>
          <w:lang w:eastAsia="fr-FR"/>
        </w:rPr>
      </w:r>
    </w:p>
    <w:p>
      <w:pPr>
        <w:pStyle w:val="Standard"/>
        <w:jc w:val="center"/>
        <w:rPr>
          <w:b/>
          <w:b/>
          <w:color w:val="7030A0"/>
          <w:sz w:val="36"/>
          <w:lang w:eastAsia="fr-FR"/>
        </w:rPr>
      </w:pPr>
      <w:r>
        <w:rPr>
          <w:b/>
          <w:color w:val="7030A0"/>
          <w:sz w:val="36"/>
          <w:lang w:eastAsia="fr-FR"/>
        </w:rPr>
      </w:r>
    </w:p>
    <w:p>
      <w:pPr>
        <w:pStyle w:val="Standard"/>
        <w:jc w:val="center"/>
        <w:rPr>
          <w:b/>
          <w:b/>
          <w:color w:val="7030A0"/>
          <w:sz w:val="36"/>
          <w:lang w:eastAsia="fr-FR"/>
        </w:rPr>
      </w:pPr>
      <w:r>
        <w:rPr>
          <w:b/>
          <w:color w:val="7030A0"/>
          <w:sz w:val="36"/>
          <w:lang w:eastAsia="fr-FR"/>
        </w:rPr>
      </w:r>
    </w:p>
    <w:p>
      <w:pPr>
        <w:pStyle w:val="Standard"/>
        <w:jc w:val="center"/>
        <w:rPr>
          <w:b/>
          <w:b/>
          <w:color w:val="7030A0"/>
          <w:sz w:val="36"/>
          <w:lang w:eastAsia="fr-FR"/>
        </w:rPr>
      </w:pPr>
      <w:r>
        <w:rPr>
          <w:b/>
          <w:color w:val="7030A0"/>
          <w:sz w:val="36"/>
          <w:lang w:eastAsia="fr-FR"/>
        </w:rPr>
      </w:r>
    </w:p>
    <w:p>
      <w:pPr>
        <w:pStyle w:val="Standard"/>
        <w:jc w:val="center"/>
        <w:rPr>
          <w:b/>
          <w:b/>
          <w:color w:val="7030A0"/>
          <w:sz w:val="36"/>
          <w:lang w:eastAsia="fr-FR"/>
        </w:rPr>
      </w:pPr>
      <w:r>
        <w:rPr>
          <w:b/>
          <w:color w:val="7030A0"/>
          <w:sz w:val="36"/>
          <w:lang w:eastAsia="fr-FR"/>
        </w:rPr>
      </w:r>
    </w:p>
    <w:p>
      <w:pPr>
        <w:pStyle w:val="Standard"/>
        <w:jc w:val="center"/>
        <w:rPr>
          <w:b/>
          <w:b/>
          <w:color w:val="7030A0"/>
          <w:sz w:val="36"/>
          <w:lang w:eastAsia="fr-FR"/>
        </w:rPr>
      </w:pPr>
      <w:r>
        <w:rPr>
          <w:b/>
          <w:color w:val="7030A0"/>
          <w:sz w:val="36"/>
          <w:lang w:eastAsia="fr-FR"/>
        </w:rPr>
        <w:t>Actualisation de l’hydrologie du Rhône</w:t>
      </w:r>
    </w:p>
    <w:p>
      <w:pPr>
        <w:pStyle w:val="Standard"/>
        <w:jc w:val="center"/>
        <w:rPr>
          <w:b/>
          <w:b/>
          <w:color w:val="7030A0"/>
          <w:sz w:val="36"/>
          <w:lang w:eastAsia="fr-FR"/>
        </w:rPr>
      </w:pPr>
      <w:r>
        <w:rPr>
          <w:b/>
          <w:color w:val="7030A0"/>
          <w:sz w:val="36"/>
          <w:lang w:eastAsia="fr-FR"/>
        </w:rPr>
        <w:br/>
        <w:t>Annexes A : Détail des archives de la CNR et des Archives Départementales relatives à la collecte de données.</w:t>
      </w:r>
    </w:p>
    <w:p>
      <w:pPr>
        <w:pStyle w:val="Standard"/>
        <w:jc w:val="center"/>
        <w:rPr>
          <w:b/>
          <w:b/>
          <w:color w:val="7030A0"/>
          <w:sz w:val="36"/>
          <w:lang w:eastAsia="fr-FR"/>
        </w:rPr>
      </w:pPr>
      <w:r>
        <w:rPr>
          <w:b/>
          <w:color w:val="7030A0"/>
          <w:sz w:val="36"/>
          <w:lang w:eastAsia="fr-FR"/>
        </w:rPr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  <w:drawing>
          <wp:anchor behindDoc="0" distT="0" distB="4445" distL="114300" distR="114300" simplePos="0" locked="0" layoutInCell="1" allowOverlap="1" relativeHeight="3">
            <wp:simplePos x="0" y="0"/>
            <wp:positionH relativeFrom="column">
              <wp:posOffset>3698875</wp:posOffset>
            </wp:positionH>
            <wp:positionV relativeFrom="paragraph">
              <wp:posOffset>86995</wp:posOffset>
            </wp:positionV>
            <wp:extent cx="1703070" cy="662305"/>
            <wp:effectExtent l="0" t="0" r="0" b="0"/>
            <wp:wrapSquare wrapText="bothSides"/>
            <wp:docPr id="4" name="Image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5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07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>
          <w:rFonts w:cs="Tahoma" w:ascii="Tahoma" w:hAnsi="Tahoma"/>
          <w:b/>
          <w:color w:val="4472C4"/>
        </w:rPr>
        <w:t xml:space="preserve">      </w:t>
      </w:r>
      <w:r>
        <w:rPr>
          <w:rFonts w:cs="Tahoma" w:ascii="Tahoma" w:hAnsi="Tahoma"/>
          <w:b/>
          <w:color w:val="00FFFF"/>
        </w:rPr>
        <w:t xml:space="preserve"> </w:t>
      </w:r>
      <w:hyperlink r:id="rId6">
        <w:r>
          <w:rPr>
            <w:rStyle w:val="LienInternet"/>
          </w:rPr>
          <w:t>www.planrhone.fr</w:t>
        </w:r>
      </w:hyperlink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tbl>
      <w:tblPr>
        <w:tblStyle w:val="Grilledutableau"/>
        <w:tblW w:w="9062" w:type="dxa"/>
        <w:jc w:val="left"/>
        <w:tblInd w:w="0" w:type="dxa"/>
        <w:tblCellMar>
          <w:top w:w="0" w:type="dxa"/>
          <w:left w:w="11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9062"/>
      </w:tblGrid>
      <w:tr>
        <w:trPr/>
        <w:tc>
          <w:tcPr>
            <w:tcW w:w="9062" w:type="dxa"/>
            <w:tcBorders>
              <w:left w:val="nil"/>
              <w:right w:val="nil"/>
              <w:insideV w:val="nil"/>
            </w:tcBorders>
            <w:shd w:fill="auto" w:val="clear"/>
          </w:tcPr>
          <w:p>
            <w:pPr>
              <w:pStyle w:val="Normal"/>
              <w:suppressAutoHyphens w:val="false"/>
              <w:textAlignment w:val="auto"/>
              <w:rPr>
                <w:lang w:eastAsia="fr-FR"/>
              </w:rPr>
            </w:pPr>
            <w:r>
              <w:rPr>
                <w:rFonts w:eastAsia="Calibri" w:cs="" w:ascii="Calibri" w:hAnsi="Calibri"/>
                <w:b/>
                <w:color w:val="7030A0"/>
                <w:sz w:val="22"/>
                <w:szCs w:val="22"/>
                <w:lang w:eastAsia="fr-FR" w:bidi="ar-SA"/>
              </w:rPr>
              <w:t>Titre :</w:t>
            </w:r>
            <w:r>
              <w:rPr>
                <w:rFonts w:eastAsia="Calibri" w:cs="" w:ascii="Calibri" w:hAnsi="Calibri"/>
                <w:color w:val="7030A0"/>
                <w:sz w:val="22"/>
                <w:szCs w:val="22"/>
                <w:lang w:eastAsia="fr-FR" w:bidi="ar-SA"/>
              </w:rPr>
              <w:t xml:space="preserve"> </w:t>
            </w:r>
            <w:r>
              <w:rPr>
                <w:rFonts w:eastAsia="Calibri" w:cs="" w:ascii="Calibri" w:hAnsi="Calibri"/>
                <w:sz w:val="22"/>
                <w:szCs w:val="22"/>
                <w:lang w:bidi="ar-SA"/>
              </w:rPr>
              <w:t>Actualisation de l’Hydrologie du Rhône</w:t>
            </w:r>
          </w:p>
          <w:p>
            <w:pPr>
              <w:pStyle w:val="Normal"/>
              <w:suppressAutoHyphens w:val="false"/>
              <w:textAlignment w:val="auto"/>
              <w:rPr>
                <w:lang w:eastAsia="fr-FR"/>
              </w:rPr>
            </w:pPr>
            <w:r>
              <w:rPr>
                <w:rFonts w:eastAsia="Calibri" w:cs="" w:ascii="Calibri" w:hAnsi="Calibri"/>
                <w:b/>
                <w:color w:val="7030A0"/>
                <w:sz w:val="22"/>
                <w:szCs w:val="22"/>
                <w:lang w:eastAsia="fr-FR" w:bidi="ar-SA"/>
              </w:rPr>
              <w:t>Sous-Titre :</w:t>
            </w:r>
            <w:r>
              <w:rPr>
                <w:rFonts w:eastAsia="Calibri" w:cs="" w:ascii="Calibri" w:hAnsi="Calibri"/>
                <w:color w:val="7030A0"/>
                <w:sz w:val="22"/>
                <w:szCs w:val="22"/>
                <w:lang w:eastAsia="fr-FR" w:bidi="ar-SA"/>
              </w:rPr>
              <w:t xml:space="preserve"> </w:t>
            </w:r>
            <w:r>
              <w:rPr>
                <w:rFonts w:eastAsia="Calibri" w:cs="" w:ascii="Calibri" w:hAnsi="Calibri"/>
                <w:sz w:val="22"/>
                <w:szCs w:val="22"/>
                <w:lang w:bidi="ar-SA"/>
              </w:rPr>
              <w:t>Annexes</w:t>
            </w:r>
            <w:bookmarkStart w:id="0" w:name="_GoBack"/>
            <w:bookmarkEnd w:id="0"/>
            <w:r>
              <w:rPr>
                <w:rFonts w:eastAsia="Calibri" w:cs="" w:ascii="Calibri" w:hAnsi="Calibri"/>
                <w:sz w:val="22"/>
                <w:szCs w:val="22"/>
                <w:lang w:bidi="ar-SA"/>
              </w:rPr>
              <w:t xml:space="preserve"> A : Détail des archives de la CNR et des Archives Départementales relatives à la collecte de données.</w:t>
            </w:r>
          </w:p>
          <w:p>
            <w:pPr>
              <w:pStyle w:val="Normal"/>
              <w:suppressAutoHyphens w:val="false"/>
              <w:textAlignment w:val="auto"/>
              <w:rPr>
                <w:lang w:eastAsia="fr-FR"/>
              </w:rPr>
            </w:pPr>
            <w:r>
              <w:rPr>
                <w:rFonts w:eastAsia="Calibri" w:cs="" w:ascii="Calibri" w:hAnsi="Calibri"/>
                <w:b/>
                <w:color w:val="7030A0"/>
                <w:sz w:val="22"/>
                <w:szCs w:val="22"/>
                <w:lang w:eastAsia="fr-FR" w:bidi="ar-SA"/>
              </w:rPr>
              <w:t>Objet :</w:t>
            </w:r>
            <w:r>
              <w:rPr>
                <w:rFonts w:eastAsia="Calibri" w:cs="" w:ascii="Calibri" w:hAnsi="Calibri"/>
                <w:color w:val="7030A0"/>
                <w:sz w:val="22"/>
                <w:szCs w:val="22"/>
                <w:lang w:eastAsia="fr-FR" w:bidi="ar-SA"/>
              </w:rPr>
              <w:t xml:space="preserve"> </w:t>
            </w:r>
            <w:r>
              <w:rPr>
                <w:rFonts w:eastAsia="Calibri" w:cs="" w:ascii="Calibri" w:hAnsi="Calibri"/>
                <w:sz w:val="22"/>
                <w:szCs w:val="22"/>
                <w:lang w:bidi="ar-SA"/>
              </w:rPr>
              <w:t>Annexe au Rapport Général Phase 1</w:t>
            </w:r>
          </w:p>
          <w:p>
            <w:pPr>
              <w:pStyle w:val="Normal"/>
              <w:suppressAutoHyphens w:val="false"/>
              <w:textAlignment w:val="auto"/>
              <w:rPr>
                <w:lang w:eastAsia="fr-FR"/>
              </w:rPr>
            </w:pPr>
            <w:r>
              <w:rPr>
                <w:rFonts w:eastAsia="Calibri" w:cs="" w:ascii="Calibri" w:hAnsi="Calibri"/>
                <w:b/>
                <w:color w:val="7030A0"/>
                <w:sz w:val="22"/>
                <w:szCs w:val="22"/>
                <w:lang w:eastAsia="fr-FR" w:bidi="ar-SA"/>
              </w:rPr>
              <w:t>Client :</w:t>
            </w:r>
            <w:r>
              <w:rPr>
                <w:rFonts w:eastAsia="Calibri" w:cs="" w:ascii="Calibri" w:hAnsi="Calibri"/>
                <w:color w:val="7030A0"/>
                <w:sz w:val="22"/>
                <w:szCs w:val="22"/>
                <w:lang w:eastAsia="fr-FR" w:bidi="ar-SA"/>
              </w:rPr>
              <w:t xml:space="preserve"> </w:t>
            </w:r>
            <w:r>
              <w:rPr>
                <w:rFonts w:eastAsia="Calibri" w:cs="" w:ascii="Calibri" w:hAnsi="Calibri"/>
                <w:sz w:val="22"/>
                <w:szCs w:val="22"/>
                <w:lang w:bidi="ar-SA"/>
              </w:rPr>
              <w:t>Dreal Auvergne-Rhône-Alpes</w:t>
            </w:r>
          </w:p>
          <w:p>
            <w:pPr>
              <w:pStyle w:val="Normal"/>
              <w:suppressAutoHyphens w:val="false"/>
              <w:textAlignment w:val="auto"/>
              <w:rPr>
                <w:lang w:eastAsia="fr-FR"/>
              </w:rPr>
            </w:pPr>
            <w:r>
              <w:rPr>
                <w:rFonts w:eastAsia="Calibri" w:cs="" w:ascii="Calibri" w:hAnsi="Calibri"/>
                <w:b/>
                <w:color w:val="7030A0"/>
                <w:sz w:val="22"/>
                <w:szCs w:val="22"/>
                <w:lang w:eastAsia="fr-FR" w:bidi="ar-SA"/>
              </w:rPr>
              <w:t>Date :</w:t>
            </w:r>
            <w:r>
              <w:rPr>
                <w:rFonts w:eastAsia="Calibri" w:cs="" w:ascii="Calibri" w:hAnsi="Calibri"/>
                <w:color w:val="7030A0"/>
                <w:sz w:val="22"/>
                <w:szCs w:val="22"/>
                <w:lang w:eastAsia="fr-FR" w:bidi="ar-SA"/>
              </w:rPr>
              <w:t xml:space="preserve"> </w:t>
            </w:r>
            <w:r>
              <w:rPr>
                <w:rFonts w:eastAsia="Calibri" w:cs="" w:ascii="Calibri" w:hAnsi="Calibri"/>
                <w:sz w:val="22"/>
                <w:szCs w:val="22"/>
                <w:lang w:eastAsia="fr-FR" w:bidi="ar-SA"/>
              </w:rPr>
              <w:t>07/05/2018</w:t>
            </w:r>
          </w:p>
          <w:p>
            <w:pPr>
              <w:pStyle w:val="Normal"/>
              <w:suppressAutoHyphens w:val="false"/>
              <w:textAlignment w:val="auto"/>
              <w:rPr>
                <w:lang w:eastAsia="fr-FR"/>
              </w:rPr>
            </w:pPr>
            <w:r>
              <w:rPr>
                <w:rFonts w:eastAsia="Calibri" w:cs="" w:ascii="Calibri" w:hAnsi="Calibri"/>
                <w:b/>
                <w:color w:val="7030A0"/>
                <w:sz w:val="22"/>
                <w:szCs w:val="22"/>
                <w:lang w:eastAsia="fr-FR" w:bidi="ar-SA"/>
              </w:rPr>
              <w:t>Version :</w:t>
            </w:r>
            <w:r>
              <w:rPr>
                <w:rFonts w:eastAsia="Calibri" w:cs="" w:ascii="Calibri" w:hAnsi="Calibri"/>
                <w:color w:val="7030A0"/>
                <w:sz w:val="22"/>
                <w:szCs w:val="22"/>
                <w:lang w:eastAsia="fr-FR" w:bidi="ar-SA"/>
              </w:rPr>
              <w:t xml:space="preserve"> </w:t>
            </w:r>
            <w:r>
              <w:rPr>
                <w:rFonts w:eastAsia="Calibri" w:cs="" w:ascii="Calibri" w:hAnsi="Calibri"/>
                <w:sz w:val="22"/>
                <w:szCs w:val="22"/>
                <w:lang w:bidi="ar-SA"/>
              </w:rPr>
              <w:t>Finale</w:t>
            </w:r>
          </w:p>
          <w:p>
            <w:pPr>
              <w:pStyle w:val="Normal"/>
              <w:suppressAutoHyphens w:val="false"/>
              <w:ind w:left="851" w:hanging="851"/>
              <w:textAlignment w:val="auto"/>
              <w:rPr>
                <w:lang w:eastAsia="fr-FR"/>
              </w:rPr>
            </w:pPr>
            <w:r>
              <w:rPr>
                <w:rFonts w:eastAsia="Calibri" w:cs="" w:ascii="Calibri" w:hAnsi="Calibri"/>
                <w:b/>
                <w:color w:val="7030A0"/>
                <w:sz w:val="22"/>
                <w:szCs w:val="22"/>
                <w:lang w:eastAsia="fr-FR" w:bidi="ar-SA"/>
              </w:rPr>
              <w:t>Auteur :</w:t>
            </w:r>
            <w:r>
              <w:rPr>
                <w:rFonts w:eastAsia="Calibri" w:cs="" w:ascii="Calibri" w:hAnsi="Calibri"/>
                <w:color w:val="7030A0"/>
                <w:sz w:val="22"/>
                <w:szCs w:val="22"/>
                <w:lang w:eastAsia="fr-FR" w:bidi="ar-SA"/>
              </w:rPr>
              <w:t xml:space="preserve">  </w:t>
            </w:r>
            <w:r>
              <w:rPr>
                <w:rFonts w:eastAsia="Calibri" w:cs="" w:ascii="Calibri" w:hAnsi="Calibri"/>
                <w:sz w:val="22"/>
                <w:szCs w:val="22"/>
                <w:lang w:bidi="ar-SA"/>
              </w:rPr>
              <w:t>Antoine Bard (Hy-dro Consultant)</w:t>
              <w:br/>
              <w:t>Michel Lang (Irstea)</w:t>
            </w:r>
          </w:p>
          <w:p>
            <w:pPr>
              <w:pStyle w:val="Normal"/>
              <w:suppressAutoHyphens w:val="false"/>
              <w:textAlignment w:val="auto"/>
              <w:rPr>
                <w:lang w:eastAsia="fr-FR"/>
              </w:rPr>
            </w:pPr>
            <w:r>
              <w:rPr>
                <w:rFonts w:eastAsia="Calibri" w:cs="" w:ascii="Calibri" w:hAnsi="Calibri"/>
                <w:b/>
                <w:color w:val="7030A0"/>
                <w:sz w:val="22"/>
                <w:szCs w:val="22"/>
                <w:lang w:eastAsia="fr-FR" w:bidi="ar-SA"/>
              </w:rPr>
              <w:t>Ref :</w:t>
            </w:r>
            <w:r>
              <w:rPr>
                <w:rFonts w:eastAsia="Calibri" w:cs="" w:ascii="Calibri" w:hAnsi="Calibri"/>
                <w:color w:val="7030A0"/>
                <w:sz w:val="22"/>
                <w:szCs w:val="22"/>
                <w:lang w:eastAsia="fr-FR" w:bidi="ar-SA"/>
              </w:rPr>
              <w:t xml:space="preserve"> </w:t>
            </w:r>
          </w:p>
        </w:tc>
      </w:tr>
      <w:tr>
        <w:trPr/>
        <w:tc>
          <w:tcPr>
            <w:tcW w:w="9062" w:type="dxa"/>
            <w:tcBorders>
              <w:left w:val="nil"/>
              <w:right w:val="nil"/>
              <w:insideV w:val="nil"/>
            </w:tcBorders>
            <w:shd w:fill="auto" w:val="clear"/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</w:tr>
      <w:tr>
        <w:trPr/>
        <w:tc>
          <w:tcPr>
            <w:tcW w:w="9062" w:type="dxa"/>
            <w:tcBorders>
              <w:left w:val="nil"/>
              <w:right w:val="nil"/>
              <w:insideV w:val="nil"/>
            </w:tcBorders>
            <w:shd w:fill="auto" w:val="clear"/>
          </w:tcPr>
          <w:p>
            <w:pPr>
              <w:pStyle w:val="Normal"/>
              <w:suppressAutoHyphens w:val="false"/>
              <w:textAlignment w:val="auto"/>
              <w:rPr>
                <w:lang w:eastAsia="fr-FR"/>
              </w:rPr>
            </w:pPr>
            <w:r>
              <w:rPr>
                <w:rFonts w:eastAsia="Calibri" w:cs="" w:ascii="Berlin Sans FB Demi" w:hAnsi="Berlin Sans FB Demi"/>
                <w:b/>
                <w:color w:val="7030A0"/>
                <w:sz w:val="22"/>
                <w:szCs w:val="22"/>
                <w:lang w:eastAsia="fr-FR" w:bidi="ar-SA"/>
              </w:rPr>
              <w:t>HY-DRO CONSULTANT</w:t>
            </w:r>
            <w:r>
              <w:rPr>
                <w:rFonts w:eastAsia="Calibri" w:cs=""/>
                <w:sz w:val="22"/>
                <w:szCs w:val="22"/>
                <w:lang w:eastAsia="fr-FR" w:bidi="ar-SA"/>
              </w:rPr>
              <w:br/>
              <w:t>756 Route du Pey, 383350 Lavaldens, France</w:t>
              <w:br/>
              <w:t>07 82 56 66 63 | antoine.bard@hydro-consultant.com</w:t>
            </w:r>
          </w:p>
        </w:tc>
      </w:tr>
      <w:tr>
        <w:trPr/>
        <w:tc>
          <w:tcPr>
            <w:tcW w:w="9062" w:type="dxa"/>
            <w:tcBorders>
              <w:left w:val="nil"/>
              <w:right w:val="nil"/>
              <w:insideV w:val="nil"/>
            </w:tcBorders>
            <w:shd w:fill="auto" w:val="clear"/>
          </w:tcPr>
          <w:p>
            <w:pPr>
              <w:pStyle w:val="Normal"/>
              <w:suppressAutoHyphens w:val="false"/>
              <w:textAlignment w:val="auto"/>
              <w:rPr>
                <w:rFonts w:ascii="Berlin Sans FB Demi" w:hAnsi="Berlin Sans FB Demi"/>
                <w:b/>
                <w:b/>
                <w:color w:val="7030A0"/>
                <w:lang w:eastAsia="fr-FR"/>
              </w:rPr>
            </w:pPr>
            <w:r>
              <w:rPr>
                <w:rFonts w:eastAsia="Calibri" w:cs="" w:ascii="Berlin Sans FB Demi" w:hAnsi="Berlin Sans FB Demi"/>
                <w:b/>
                <w:color w:val="7030A0"/>
                <w:sz w:val="22"/>
                <w:szCs w:val="22"/>
                <w:lang w:eastAsia="fr-FR" w:bidi="ar-SA"/>
              </w:rPr>
              <w:t>Irstea – Unité Hydrologie – Hydraulique</w:t>
            </w:r>
            <w:r>
              <w:rPr>
                <w:rFonts w:eastAsia="Calibri" w:cs=""/>
                <w:sz w:val="22"/>
                <w:szCs w:val="22"/>
                <w:lang w:bidi="ar-SA"/>
              </w:rPr>
              <w:br/>
              <w:t>5 Rue de la Doua, 69616 Villeurbanne, France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p>
      <w:pPr>
        <w:pStyle w:val="Titre1"/>
        <w:numPr>
          <w:ilvl w:val="0"/>
          <w:numId w:val="2"/>
        </w:numPr>
        <w:rPr>
          <w:b/>
          <w:b/>
          <w:bCs/>
        </w:rPr>
      </w:pPr>
      <w:r>
        <w:rPr>
          <w:b/>
          <w:bCs/>
        </w:rPr>
        <w:t>A1 : liste des archives CNR</w:t>
      </w:r>
    </w:p>
    <w:p>
      <w:pPr>
        <w:pStyle w:val="Normal"/>
        <w:rPr/>
      </w:pPr>
      <w:r>
        <w:rPr/>
      </w:r>
    </w:p>
    <w:tbl>
      <w:tblPr>
        <w:tblStyle w:val="Grilledutableau"/>
        <w:tblW w:w="9145" w:type="dxa"/>
        <w:jc w:val="left"/>
        <w:tblInd w:w="-123" w:type="dxa"/>
        <w:tblCellMar>
          <w:top w:w="0" w:type="dxa"/>
          <w:left w:w="9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1240"/>
        <w:gridCol w:w="1658"/>
        <w:gridCol w:w="5007"/>
        <w:gridCol w:w="1239"/>
      </w:tblGrid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jc w:val="center"/>
              <w:textAlignment w:val="auto"/>
              <w:rPr>
                <w:rFonts w:ascii="Calibri" w:hAnsi="Calibri" w:eastAsia="Times New Roman" w:cs="Calibri"/>
                <w:b/>
                <w:b/>
                <w:bCs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b/>
                <w:bCs/>
                <w:color w:val="000000"/>
                <w:sz w:val="22"/>
                <w:szCs w:val="22"/>
                <w:lang w:eastAsia="fr-FR" w:bidi="ar-SA"/>
              </w:rPr>
              <w:t>Lieu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jc w:val="center"/>
              <w:textAlignment w:val="auto"/>
              <w:rPr>
                <w:rFonts w:ascii="Calibri" w:hAnsi="Calibri" w:eastAsia="Times New Roman" w:cs="Calibri"/>
                <w:b/>
                <w:b/>
                <w:bCs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b/>
                <w:bCs/>
                <w:color w:val="000000"/>
                <w:sz w:val="22"/>
                <w:szCs w:val="22"/>
                <w:lang w:eastAsia="fr-FR" w:bidi="ar-SA"/>
              </w:rPr>
              <w:t>Cote/ref Archives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jc w:val="center"/>
              <w:textAlignment w:val="auto"/>
              <w:rPr>
                <w:rFonts w:ascii="Calibri" w:hAnsi="Calibri" w:eastAsia="Times New Roman" w:cs="Calibri"/>
                <w:b/>
                <w:b/>
                <w:bCs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b/>
                <w:bCs/>
                <w:color w:val="000000"/>
                <w:sz w:val="22"/>
                <w:szCs w:val="22"/>
                <w:lang w:eastAsia="fr-FR" w:bidi="ar-SA"/>
              </w:rPr>
              <w:t>Contenu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jc w:val="center"/>
              <w:textAlignment w:val="auto"/>
              <w:rPr>
                <w:rFonts w:ascii="Calibri" w:hAnsi="Calibri" w:eastAsia="Times New Roman" w:cs="Calibri"/>
                <w:b/>
                <w:b/>
                <w:bCs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b/>
                <w:bCs/>
                <w:color w:val="000000"/>
                <w:sz w:val="22"/>
                <w:szCs w:val="22"/>
                <w:lang w:eastAsia="fr-FR" w:bidi="ar-SA"/>
              </w:rPr>
              <w:t>Période</w:t>
            </w:r>
          </w:p>
        </w:tc>
      </w:tr>
      <w:tr>
        <w:trPr>
          <w:trHeight w:val="570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DX-HY-00-028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relevés limnimétriques à la Mulatière 3 cotes / jour de 1942-1957, 12 cotes/ jour de 1952-1964, 1 cote / jour sur Déc-Jan-Fev de 1910à1948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1910-1957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DX-HY-00-037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jaugeages nombreuses stations sur l'ensemble du linéaire du Rhône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1950-1987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DX-HY-00-038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pacing w:lineRule="auto" w:line="240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Tableaux de tenues des crues P&amp;C ensemble du Rhône, échelles :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Seyssel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Pierre Chatel (Pt de St Blaise)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Sault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Morand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Lafayette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La Mulatière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Vienne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Pierre de Bœuf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Tournon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Valence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Rochemaure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Donzère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Bourg St Andéol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St Esprit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Roquemaure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Avignon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Aramon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Vallabrègues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Beaucaire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Arles</w:t>
            </w:r>
          </w:p>
          <w:p>
            <w:pPr>
              <w:pStyle w:val="ListParagraph"/>
              <w:numPr>
                <w:ilvl w:val="0"/>
                <w:numId w:val="6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St Gilles</w:t>
            </w:r>
          </w:p>
          <w:p>
            <w:pPr>
              <w:pStyle w:val="Normal"/>
              <w:spacing w:lineRule="auto" w:line="240"/>
              <w:rPr>
                <w:rFonts w:ascii="Calibri" w:hAnsi="Calibri" w:eastAsia="Times New Roman" w:cs="Calibri"/>
                <w:i/>
                <w:i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i/>
                <w:color w:val="000000"/>
                <w:lang w:eastAsia="fr-FR"/>
              </w:rPr>
              <w:t>(Ouvrage en mauvais état, difficile à lire et numériser)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1845-1935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DX-HY-00-038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Tableau des crues principales à Génissiat et Seyssel (cotes)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1841-1944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DX-HY-98-086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tracés limnigraphiques à Bognes de 1949 à 1976 pour les crues annuelles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1949-1976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DX-HY-98-087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tracés limnigraphiques à Bognes de 1949 à 1976 pour les crues annuelles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1949-1976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DX-HY-98-088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tracés limnigraphiques à Bognes de 1949 à 1976 pour les crues annuelles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1949-1976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DX-HY-98-116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tracés limnigraphiques à Givors de 1960-1969 pour les crues annuelles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1960-1969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DX-HY-98-117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tracés limnigraphiques à Givors de 1970-1976 pour les crues annuelles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1970-1976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DX-HY-98-118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tracés limnigraphiques à Givors de 1977-1985 pour les crues annuelles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1977-1985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DX-HY-98-121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tracés limnigraphiques à la Mulatière de 1957-1964 pour les crues annuelles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1957-1964</w:t>
            </w:r>
          </w:p>
        </w:tc>
      </w:tr>
      <w:tr>
        <w:trPr>
          <w:trHeight w:val="570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DX-HY-98-211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relevés limnimétriques à Beaucaire 3 cotes / jour de 1910-1962, note de nivèlement du zéro d'échelle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1910-1962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DX-HY-98-212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tracés limnigraphiques à Beaucaire de 1961-1969 pour les crues annuelles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1961-1969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DX-HY-99-029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jaugeages à Bognes de 1947-1948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1947-1948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DX-HY-99-030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jaugeages à Bognes de 1949-1950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1949-1950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DX-HY-99-031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jaugeages à Bognes de 1951-1953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1951-1953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DX-HY-99-032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jaugeages à Bognes de 1954-1980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1954-1980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DX-HY-99-046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jaugeages à Oullins de 1955-1956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1955-1956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DX-HY-99-047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jaugeages à Oullins de 1945-1959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1945-1959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DX-HY-99-048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jaugeages à Oullins de 1961-1965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1961-1965</w:t>
            </w:r>
          </w:p>
        </w:tc>
      </w:tr>
      <w:tr>
        <w:trPr>
          <w:trHeight w:val="285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DX-HY-99-051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jaugeages à Vienne de 1965-1969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1965-1969</w:t>
            </w:r>
          </w:p>
        </w:tc>
      </w:tr>
      <w:tr>
        <w:trPr>
          <w:trHeight w:val="570" w:hRule="atLeast"/>
        </w:trPr>
        <w:tc>
          <w:tcPr>
            <w:tcW w:w="1240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Siège CNR</w:t>
            </w:r>
          </w:p>
        </w:tc>
        <w:tc>
          <w:tcPr>
            <w:tcW w:w="165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DX-HY-99-074</w:t>
            </w:r>
          </w:p>
        </w:tc>
        <w:tc>
          <w:tcPr>
            <w:tcW w:w="500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jaugeages nombreuses stations sur l'ensemble du linéaire du Rhône dont jaugeages des Ponts et Chaussées de 1858-1936</w:t>
            </w:r>
          </w:p>
        </w:tc>
        <w:tc>
          <w:tcPr>
            <w:tcW w:w="1239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sz w:val="22"/>
                <w:szCs w:val="22"/>
                <w:lang w:eastAsia="fr-FR" w:bidi="ar-SA"/>
              </w:rPr>
              <w:t>1858-1936</w:t>
            </w:r>
          </w:p>
        </w:tc>
      </w:tr>
    </w:tbl>
    <w:p>
      <w:pPr>
        <w:pStyle w:val="Normal"/>
        <w:rPr/>
      </w:pPr>
      <w:r>
        <w:rPr/>
      </w:r>
    </w:p>
    <w:tbl>
      <w:tblPr>
        <w:tblW w:w="8689" w:type="dxa"/>
        <w:jc w:val="left"/>
        <w:tblInd w:w="65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top w:w="15" w:type="dxa"/>
          <w:left w:w="55" w:type="dxa"/>
          <w:bottom w:w="15" w:type="dxa"/>
          <w:right w:w="70" w:type="dxa"/>
        </w:tblCellMar>
        <w:tblLook w:firstRow="1" w:noVBand="1" w:lastRow="0" w:firstColumn="1" w:lastColumn="0" w:noHBand="0" w:val="04a0"/>
      </w:tblPr>
      <w:tblGrid>
        <w:gridCol w:w="2094"/>
        <w:gridCol w:w="3496"/>
        <w:gridCol w:w="1399"/>
        <w:gridCol w:w="1699"/>
      </w:tblGrid>
      <w:tr>
        <w:trPr>
          <w:trHeight w:val="285" w:hRule="atLeast"/>
        </w:trPr>
        <w:tc>
          <w:tcPr>
            <w:tcW w:w="2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b/>
                <w:b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b/>
                <w:color w:val="000000"/>
                <w:lang w:eastAsia="fr-FR"/>
              </w:rPr>
              <w:t>Lieu</w:t>
            </w:r>
          </w:p>
        </w:tc>
        <w:tc>
          <w:tcPr>
            <w:tcW w:w="34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b/>
                <w:b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b/>
                <w:color w:val="000000"/>
                <w:lang w:eastAsia="fr-FR"/>
              </w:rPr>
              <w:t>Contenu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b/>
                <w:b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b/>
                <w:color w:val="000000"/>
                <w:lang w:eastAsia="fr-FR"/>
              </w:rPr>
              <w:t>Détail</w:t>
            </w:r>
          </w:p>
        </w:tc>
        <w:tc>
          <w:tcPr>
            <w:tcW w:w="1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b/>
                <w:b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b/>
                <w:color w:val="000000"/>
                <w:lang w:eastAsia="fr-FR"/>
              </w:rPr>
              <w:t>Tronçon hydrographique</w:t>
            </w:r>
          </w:p>
        </w:tc>
      </w:tr>
      <w:tr>
        <w:trPr>
          <w:trHeight w:val="285" w:hRule="atLeast"/>
        </w:trPr>
        <w:tc>
          <w:tcPr>
            <w:tcW w:w="2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Archives CNR Cacoh</w:t>
            </w:r>
          </w:p>
        </w:tc>
        <w:tc>
          <w:tcPr>
            <w:tcW w:w="34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Profil en long Haut-Rhône du PK 98-0 crue de 1910, 1928, 1944, 1950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Profil en Long</w:t>
            </w:r>
          </w:p>
        </w:tc>
        <w:tc>
          <w:tcPr>
            <w:tcW w:w="1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Haut-Rhône</w:t>
            </w:r>
          </w:p>
        </w:tc>
      </w:tr>
      <w:tr>
        <w:trPr>
          <w:trHeight w:val="285" w:hRule="atLeast"/>
        </w:trPr>
        <w:tc>
          <w:tcPr>
            <w:tcW w:w="2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Archives CNR Cacoh</w:t>
            </w:r>
          </w:p>
        </w:tc>
        <w:tc>
          <w:tcPr>
            <w:tcW w:w="34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Profil en long Haut-Rhône du PK 152-56 crue de 1955, 1944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Profil en Long</w:t>
            </w:r>
          </w:p>
        </w:tc>
        <w:tc>
          <w:tcPr>
            <w:tcW w:w="1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Haut-Rhône</w:t>
            </w:r>
          </w:p>
        </w:tc>
      </w:tr>
      <w:tr>
        <w:trPr>
          <w:trHeight w:val="285" w:hRule="atLeast"/>
        </w:trPr>
        <w:tc>
          <w:tcPr>
            <w:tcW w:w="2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Archives CNR Cacoh</w:t>
            </w:r>
          </w:p>
        </w:tc>
        <w:tc>
          <w:tcPr>
            <w:tcW w:w="34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Courbe de correspondance des cotes Boudaloue et Lallement en vallée du Rhône (1938)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Topographie</w:t>
            </w:r>
          </w:p>
        </w:tc>
        <w:tc>
          <w:tcPr>
            <w:tcW w:w="1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Rhône</w:t>
            </w:r>
          </w:p>
        </w:tc>
      </w:tr>
      <w:tr>
        <w:trPr>
          <w:trHeight w:val="285" w:hRule="atLeast"/>
        </w:trPr>
        <w:tc>
          <w:tcPr>
            <w:tcW w:w="2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Archives CNR Cacoh</w:t>
            </w:r>
          </w:p>
        </w:tc>
        <w:tc>
          <w:tcPr>
            <w:tcW w:w="34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Profil en long de Lyon à Arles crue de 1856, 1928, 1944, 1951, 1955, 1957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Profil en Long</w:t>
            </w:r>
          </w:p>
        </w:tc>
        <w:tc>
          <w:tcPr>
            <w:tcW w:w="1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Bas-Rhône</w:t>
            </w:r>
          </w:p>
        </w:tc>
      </w:tr>
      <w:tr>
        <w:trPr>
          <w:trHeight w:val="285" w:hRule="atLeast"/>
        </w:trPr>
        <w:tc>
          <w:tcPr>
            <w:tcW w:w="2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Archives CNR Cacoh</w:t>
            </w:r>
          </w:p>
        </w:tc>
        <w:tc>
          <w:tcPr>
            <w:tcW w:w="34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Profil en long Bas-Rhône de Lyon à Arles crue de 1856, 1928, 11896, 1900 + basses eaux 1921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Profil en Long</w:t>
            </w:r>
          </w:p>
        </w:tc>
        <w:tc>
          <w:tcPr>
            <w:tcW w:w="1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Bas-Rhône</w:t>
            </w:r>
          </w:p>
        </w:tc>
      </w:tr>
      <w:tr>
        <w:trPr>
          <w:trHeight w:val="285" w:hRule="atLeast"/>
        </w:trPr>
        <w:tc>
          <w:tcPr>
            <w:tcW w:w="2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Archives CNR Cacoh</w:t>
            </w:r>
          </w:p>
        </w:tc>
        <w:tc>
          <w:tcPr>
            <w:tcW w:w="34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 xml:space="preserve">Observation générale sur la Critique des données 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Fiche stations</w:t>
            </w:r>
          </w:p>
        </w:tc>
        <w:tc>
          <w:tcPr>
            <w:tcW w:w="1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Rhône</w:t>
            </w:r>
          </w:p>
        </w:tc>
      </w:tr>
      <w:tr>
        <w:trPr>
          <w:trHeight w:val="285" w:hRule="atLeast"/>
        </w:trPr>
        <w:tc>
          <w:tcPr>
            <w:tcW w:w="2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Archives CNR Cacoh</w:t>
            </w:r>
          </w:p>
        </w:tc>
        <w:tc>
          <w:tcPr>
            <w:tcW w:w="34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Fiches stations historique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Fiche stations</w:t>
            </w:r>
          </w:p>
        </w:tc>
        <w:tc>
          <w:tcPr>
            <w:tcW w:w="1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  <w:vAlign w:val="bottom"/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Rhône</w:t>
            </w:r>
          </w:p>
        </w:tc>
      </w:tr>
      <w:tr>
        <w:trPr>
          <w:trHeight w:val="285" w:hRule="atLeast"/>
        </w:trPr>
        <w:tc>
          <w:tcPr>
            <w:tcW w:w="2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Archives CNR Cacoh</w:t>
            </w:r>
          </w:p>
        </w:tc>
        <w:tc>
          <w:tcPr>
            <w:tcW w:w="34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</w:tcPr>
          <w:p>
            <w:pPr>
              <w:pStyle w:val="Normal"/>
              <w:keepNext/>
              <w:spacing w:lineRule="auto" w:line="240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Tableau des hauteurs des principales crues (1840-1904), échelles :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Seyssel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Culoz Pt ch. De fer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St-Blaise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Cordon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Le Sault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d’Ain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Tenay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Chazey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Loyettes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Thil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Miribel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Morand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Lafayette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d. l. Guillotière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du Midi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BK n°2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d. l. Feuillée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d. l. Mulatière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Givors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Vienne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Condrieu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Chavanay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St P de Bœuf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Bas de St P de Bœuf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Andance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St Vallier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Tournon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Valence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La Voulte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Le Pouzin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Rochemaure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Le Theil (Pt)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Donzère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Bourg St Andeol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St Esprit (aval)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Roquemaure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Miénard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Avignon Pt suspendu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Aramon bac et éch.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Vallabrègues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Beaucaire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Tarascon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Arles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Fourques Petit Rhône</w:t>
            </w:r>
          </w:p>
          <w:p>
            <w:pPr>
              <w:pStyle w:val="ListParagraph"/>
              <w:keepNext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St Gilles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Annuaire de crue</w:t>
            </w:r>
          </w:p>
        </w:tc>
        <w:tc>
          <w:tcPr>
            <w:tcW w:w="1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Rhône</w:t>
            </w:r>
          </w:p>
        </w:tc>
      </w:tr>
      <w:tr>
        <w:trPr>
          <w:trHeight w:val="285" w:hRule="atLeast"/>
        </w:trPr>
        <w:tc>
          <w:tcPr>
            <w:tcW w:w="2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Archives CNR Cacoh</w:t>
            </w:r>
          </w:p>
        </w:tc>
        <w:tc>
          <w:tcPr>
            <w:tcW w:w="34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</w:tcPr>
          <w:p>
            <w:pPr>
              <w:pStyle w:val="Normal"/>
              <w:keepNext/>
              <w:spacing w:lineRule="auto" w:line="240"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Hydrologie du Rhône (Cotes) Maxima annuels (1845-1977), échelles :</w:t>
            </w:r>
          </w:p>
          <w:p>
            <w:pPr>
              <w:pStyle w:val="ListParagraph"/>
              <w:keepNext/>
              <w:numPr>
                <w:ilvl w:val="0"/>
                <w:numId w:val="5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Seyssel</w:t>
            </w:r>
          </w:p>
          <w:p>
            <w:pPr>
              <w:pStyle w:val="ListParagraph"/>
              <w:keepNext/>
              <w:numPr>
                <w:ilvl w:val="0"/>
                <w:numId w:val="5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 Brenaz</w:t>
            </w:r>
          </w:p>
          <w:p>
            <w:pPr>
              <w:pStyle w:val="ListParagraph"/>
              <w:keepNext/>
              <w:numPr>
                <w:ilvl w:val="0"/>
                <w:numId w:val="5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Vienne</w:t>
            </w:r>
          </w:p>
          <w:p>
            <w:pPr>
              <w:pStyle w:val="ListParagraph"/>
              <w:keepNext/>
              <w:numPr>
                <w:ilvl w:val="0"/>
                <w:numId w:val="5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Serrières</w:t>
            </w:r>
          </w:p>
          <w:p>
            <w:pPr>
              <w:pStyle w:val="ListParagraph"/>
              <w:keepNext/>
              <w:numPr>
                <w:ilvl w:val="0"/>
                <w:numId w:val="5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Valence</w:t>
            </w:r>
          </w:p>
          <w:p>
            <w:pPr>
              <w:pStyle w:val="ListParagraph"/>
              <w:keepNext/>
              <w:numPr>
                <w:ilvl w:val="0"/>
                <w:numId w:val="5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Avignon</w:t>
            </w:r>
          </w:p>
          <w:p>
            <w:pPr>
              <w:pStyle w:val="ListParagraph"/>
              <w:keepNext/>
              <w:numPr>
                <w:ilvl w:val="0"/>
                <w:numId w:val="5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Beaucaire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Annuaire de crue</w:t>
            </w:r>
          </w:p>
        </w:tc>
        <w:tc>
          <w:tcPr>
            <w:tcW w:w="1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55" w:type="dxa"/>
            </w:tcMar>
          </w:tcPr>
          <w:p>
            <w:pPr>
              <w:pStyle w:val="Normal"/>
              <w:keepNext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 w:ascii="Calibri" w:hAnsi="Calibri"/>
                <w:color w:val="000000"/>
                <w:lang w:eastAsia="fr-FR"/>
              </w:rPr>
              <w:t>Rhône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p>
      <w:pPr>
        <w:pStyle w:val="Titre1"/>
        <w:numPr>
          <w:ilvl w:val="0"/>
          <w:numId w:val="2"/>
        </w:numPr>
        <w:rPr>
          <w:b/>
          <w:b/>
          <w:bCs/>
        </w:rPr>
      </w:pPr>
      <w:r>
        <w:rPr>
          <w:b/>
          <w:bCs/>
        </w:rPr>
        <w:t>A2 : liste des Archives Départementales du Rhône</w:t>
      </w:r>
    </w:p>
    <w:p>
      <w:pPr>
        <w:pStyle w:val="ListParagraph"/>
        <w:numPr>
          <w:ilvl w:val="0"/>
          <w:numId w:val="3"/>
        </w:numPr>
        <w:rPr>
          <w:b/>
          <w:b/>
        </w:rPr>
      </w:pPr>
      <w:r>
        <w:rPr>
          <w:b/>
        </w:rPr>
        <w:t>Relevé des hauteurs de 1884 à 1976</w:t>
      </w:r>
    </w:p>
    <w:tbl>
      <w:tblPr>
        <w:tblStyle w:val="Grilledutableau"/>
        <w:tblW w:w="7796" w:type="dxa"/>
        <w:jc w:val="center"/>
        <w:tblInd w:w="0" w:type="dxa"/>
        <w:tblCellMar>
          <w:top w:w="0" w:type="dxa"/>
          <w:left w:w="9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3898"/>
        <w:gridCol w:w="3897"/>
      </w:tblGrid>
      <w:tr>
        <w:trPr>
          <w:trHeight w:val="395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b/>
                <w:b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b/>
                <w:sz w:val="20"/>
                <w:szCs w:val="20"/>
                <w:lang w:eastAsia="fr-FR" w:bidi="ar-SA"/>
              </w:rPr>
              <w:t>Station – Point de relevé renseignés en 1884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b/>
                <w:b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b/>
                <w:sz w:val="20"/>
                <w:szCs w:val="20"/>
                <w:lang w:eastAsia="fr-FR" w:bidi="ar-SA"/>
              </w:rPr>
              <w:t>Station – Point de relevé renseignés en 1911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Secheron (lac Léman)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Seyssel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Seyssel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Chanaz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Chanaz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La Balme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Cordon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Sault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Sault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Loyette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Thil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Miribel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Bellevue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Lafayette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la Guillotière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la Guillotière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Morand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PK 2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Givors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Vienne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Condrieu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Saint-Pierre-de-Boeuf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Serrières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Andance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Saint-Vallier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Tournon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Valence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Valence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Le Pouzin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Rochemaure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Rochemaure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du Teil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du Teil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Donzère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Bourg-Saint-Andéol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Bourg-Saint-Andéol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Pont-Saint-Esprit (aval)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Pont-Saint-Esprit (aval)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Roquemaure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Roquemaure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Avignon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Avignon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Aramon (pont du village)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Aramon (pont du village)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Villeneuve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Vallabrègues - village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Vallabrègues - bac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Tarascon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Tarascon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Beaucaire (écluse du canal)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Beaucaire (écluse du canal)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Arles</w:t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Arles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Mas de la Ville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Mas Thibert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Ile du Roi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Barcarin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Tour Saint-Louis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Fourques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Pont de Saint-Gilles</w:t>
            </w:r>
          </w:p>
        </w:tc>
      </w:tr>
      <w:tr>
        <w:trPr>
          <w:trHeight w:val="300" w:hRule="atLeast"/>
        </w:trPr>
        <w:tc>
          <w:tcPr>
            <w:tcW w:w="3898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cstheme="minorBidi" w:eastAsiaTheme="minorHAnsi" w:ascii="Calibri" w:hAnsi="Calibri"/>
                <w:sz w:val="22"/>
                <w:szCs w:val="22"/>
                <w:lang w:eastAsia="en-US" w:bidi="ar-SA"/>
              </w:rPr>
            </w:r>
          </w:p>
        </w:tc>
        <w:tc>
          <w:tcPr>
            <w:tcW w:w="3897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suppressAutoHyphens w:val="false"/>
              <w:textAlignment w:val="auto"/>
              <w:rPr>
                <w:rFonts w:cs="Calibri" w:cstheme="minorHAnsi"/>
                <w:sz w:val="20"/>
                <w:szCs w:val="20"/>
                <w:lang w:eastAsia="fr-FR"/>
              </w:rPr>
            </w:pPr>
            <w:r>
              <w:rPr>
                <w:rFonts w:eastAsia="Calibri" w:cs="Calibri" w:ascii="Calibri" w:hAnsi="Calibri" w:cstheme="minorHAnsi"/>
                <w:sz w:val="20"/>
                <w:szCs w:val="20"/>
                <w:lang w:eastAsia="fr-FR" w:bidi="ar-SA"/>
              </w:rPr>
              <w:t>Château Davignon</w:t>
            </w:r>
          </w:p>
        </w:tc>
      </w:tr>
    </w:tbl>
    <w:p>
      <w:pPr>
        <w:pStyle w:val="Normal"/>
        <w:rPr/>
      </w:pPr>
      <w:r>
        <w:rPr/>
      </w:r>
    </w:p>
    <w:p>
      <w:pPr>
        <w:pStyle w:val="ListParagraph"/>
        <w:numPr>
          <w:ilvl w:val="0"/>
          <w:numId w:val="3"/>
        </w:numPr>
        <w:rPr>
          <w:b/>
          <w:b/>
        </w:rPr>
      </w:pPr>
      <w:r>
        <w:rPr>
          <w:b/>
        </w:rPr>
        <w:t>Autres données</w:t>
      </w:r>
    </w:p>
    <w:tbl>
      <w:tblPr>
        <w:tblStyle w:val="Grilledutableau"/>
        <w:tblW w:w="9211" w:type="dxa"/>
        <w:jc w:val="center"/>
        <w:tblInd w:w="0" w:type="dxa"/>
        <w:tblCellMar>
          <w:top w:w="0" w:type="dxa"/>
          <w:left w:w="9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05"/>
        <w:gridCol w:w="4605"/>
      </w:tblGrid>
      <w:tr>
        <w:trPr/>
        <w:tc>
          <w:tcPr>
            <w:tcW w:w="4605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widowControl w:val="false"/>
              <w:suppressAutoHyphens w:val="false"/>
              <w:textAlignment w:val="auto"/>
              <w:rPr>
                <w:b/>
                <w:b/>
              </w:rPr>
            </w:pPr>
            <w:r>
              <w:rPr>
                <w:rFonts w:eastAsia="Calibri" w:cs="" w:ascii="Calibri" w:hAnsi="Calibri" w:cstheme="minorBidi" w:eastAsiaTheme="minorHAnsi"/>
                <w:b/>
                <w:sz w:val="22"/>
                <w:szCs w:val="22"/>
                <w:lang w:eastAsia="en-US" w:bidi="ar-SA"/>
              </w:rPr>
              <w:t>Type</w:t>
            </w:r>
          </w:p>
        </w:tc>
        <w:tc>
          <w:tcPr>
            <w:tcW w:w="4605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widowControl w:val="false"/>
              <w:suppressAutoHyphens w:val="false"/>
              <w:textAlignment w:val="auto"/>
              <w:rPr>
                <w:b/>
                <w:b/>
              </w:rPr>
            </w:pPr>
            <w:r>
              <w:rPr>
                <w:rFonts w:eastAsia="Calibri" w:cs="" w:ascii="Calibri" w:hAnsi="Calibri" w:cstheme="minorBidi" w:eastAsiaTheme="minorHAnsi"/>
                <w:b/>
                <w:sz w:val="22"/>
                <w:szCs w:val="22"/>
                <w:lang w:eastAsia="en-US" w:bidi="ar-SA"/>
              </w:rPr>
              <w:t>Période couverte</w:t>
            </w:r>
          </w:p>
        </w:tc>
      </w:tr>
      <w:tr>
        <w:trPr/>
        <w:tc>
          <w:tcPr>
            <w:tcW w:w="4605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widowControl w:val="false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ascii="Calibri" w:hAnsi="Calibri" w:cstheme="minorBidi" w:eastAsiaTheme="minorHAnsi"/>
                <w:sz w:val="22"/>
                <w:szCs w:val="22"/>
                <w:lang w:eastAsia="en-US" w:bidi="ar-SA"/>
              </w:rPr>
              <w:t>Maxima aux échelles du Rhône : crues classées</w:t>
            </w:r>
          </w:p>
        </w:tc>
        <w:tc>
          <w:tcPr>
            <w:tcW w:w="4605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widowControl w:val="false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ascii="Calibri" w:hAnsi="Calibri" w:cstheme="minorBidi" w:eastAsiaTheme="minorHAnsi"/>
                <w:sz w:val="22"/>
                <w:szCs w:val="22"/>
                <w:lang w:eastAsia="en-US" w:bidi="ar-SA"/>
              </w:rPr>
              <w:t>1840-1950</w:t>
            </w:r>
          </w:p>
        </w:tc>
      </w:tr>
      <w:tr>
        <w:trPr/>
        <w:tc>
          <w:tcPr>
            <w:tcW w:w="4605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widowControl w:val="false"/>
              <w:spacing w:lineRule="auto" w:line="240"/>
              <w:rPr/>
            </w:pPr>
            <w:r>
              <w:rPr/>
              <w:t>Tableaux des crues très importantes, échelles :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Seyssel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Culoz Pt ch. De fer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St-Blaise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Cordon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Le Sault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d’Ain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Chazey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Loyettes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Thil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Miribel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Bellevue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Morand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Lafayette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d. l. Guillotière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Trévoux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d. l. Feuillée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d. l. Mulatière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Givors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Vienne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Condrieu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Chavanay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St P de Bœuf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Bas de St P de Bœuf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Serrières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Andance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St Vallier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Tournon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Romans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Valence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(Drôme à Die)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(Drôme à Crest)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Le Pouzin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Rochemaure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Le Theil (Pt)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Donzère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Bourg St Andeol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(Ardèche à St Martin)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(Ardèche à Vallon)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Pt St Esprit (aval)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Roquemaure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Miénart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Avignon Pt suspendu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Aramon bac et éch.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Vallabrègues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Beaucaire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Tarascon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Arles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La Tour St Louis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Tourques</w:t>
            </w:r>
          </w:p>
          <w:p>
            <w:pPr>
              <w:pStyle w:val="ListParagraph"/>
              <w:widowControl w:val="false"/>
              <w:numPr>
                <w:ilvl w:val="0"/>
                <w:numId w:val="4"/>
              </w:numPr>
              <w:spacing w:lineRule="auto" w:line="240" w:before="0" w:after="0"/>
              <w:contextualSpacing/>
              <w:rPr>
                <w:rFonts w:ascii="Calibri" w:hAnsi="Calibri" w:eastAsia="Times New Roman" w:cs="Calibri"/>
                <w:color w:val="000000"/>
                <w:lang w:eastAsia="fr-FR"/>
              </w:rPr>
            </w:pPr>
            <w:r>
              <w:rPr>
                <w:rFonts w:eastAsia="Times New Roman" w:cs="Calibri"/>
                <w:color w:val="000000"/>
                <w:lang w:eastAsia="fr-FR"/>
              </w:rPr>
              <w:t>St Gilles</w:t>
            </w:r>
          </w:p>
          <w:p>
            <w:pPr>
              <w:pStyle w:val="Normal"/>
              <w:widowControl w:val="false"/>
              <w:spacing w:lineRule="auto" w:line="240"/>
              <w:rPr/>
            </w:pPr>
            <w:r>
              <w:rPr/>
            </w:r>
          </w:p>
        </w:tc>
        <w:tc>
          <w:tcPr>
            <w:tcW w:w="4605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widowControl w:val="false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ascii="Calibri" w:hAnsi="Calibri" w:cstheme="minorBidi" w:eastAsiaTheme="minorHAnsi"/>
                <w:sz w:val="22"/>
                <w:szCs w:val="22"/>
                <w:lang w:eastAsia="en-US" w:bidi="ar-SA"/>
              </w:rPr>
              <w:t>1840-1957</w:t>
            </w:r>
          </w:p>
        </w:tc>
      </w:tr>
      <w:tr>
        <w:trPr/>
        <w:tc>
          <w:tcPr>
            <w:tcW w:w="4605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widowControl w:val="false"/>
              <w:spacing w:lineRule="auto" w:line="240"/>
              <w:rPr/>
            </w:pPr>
            <w:r>
              <w:rPr/>
              <w:t>Niveaux mensuels caractéristiques (min et max) à :</w:t>
            </w:r>
          </w:p>
          <w:p>
            <w:pPr>
              <w:pStyle w:val="ListParagraph"/>
              <w:widowControl w:val="false"/>
              <w:numPr>
                <w:ilvl w:val="0"/>
                <w:numId w:val="7"/>
              </w:numPr>
              <w:spacing w:lineRule="auto" w:line="240" w:before="0" w:after="0"/>
              <w:contextualSpacing/>
              <w:rPr/>
            </w:pPr>
            <w:r>
              <w:rPr/>
              <w:t>Valence</w:t>
            </w:r>
          </w:p>
          <w:p>
            <w:pPr>
              <w:pStyle w:val="ListParagraph"/>
              <w:widowControl w:val="false"/>
              <w:numPr>
                <w:ilvl w:val="0"/>
                <w:numId w:val="7"/>
              </w:numPr>
              <w:spacing w:lineRule="auto" w:line="240" w:before="0" w:after="0"/>
              <w:contextualSpacing/>
              <w:rPr/>
            </w:pPr>
            <w:r>
              <w:rPr/>
              <w:t>Pont-St-Esprit</w:t>
            </w:r>
          </w:p>
          <w:p>
            <w:pPr>
              <w:pStyle w:val="ListParagraph"/>
              <w:widowControl w:val="false"/>
              <w:numPr>
                <w:ilvl w:val="0"/>
                <w:numId w:val="7"/>
              </w:numPr>
              <w:spacing w:lineRule="auto" w:line="240" w:before="0" w:after="0"/>
              <w:contextualSpacing/>
              <w:rPr/>
            </w:pPr>
            <w:r>
              <w:rPr/>
              <w:t>Avignon</w:t>
            </w:r>
          </w:p>
          <w:p>
            <w:pPr>
              <w:pStyle w:val="ListParagraph"/>
              <w:widowControl w:val="false"/>
              <w:numPr>
                <w:ilvl w:val="0"/>
                <w:numId w:val="7"/>
              </w:numPr>
              <w:spacing w:lineRule="auto" w:line="240" w:before="0" w:after="0"/>
              <w:contextualSpacing/>
              <w:rPr/>
            </w:pPr>
            <w:r>
              <w:rPr/>
              <w:t>Arles</w:t>
            </w:r>
          </w:p>
        </w:tc>
        <w:tc>
          <w:tcPr>
            <w:tcW w:w="4605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widowControl w:val="false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ascii="Calibri" w:hAnsi="Calibri" w:cstheme="minorBidi" w:eastAsiaTheme="minorHAnsi"/>
                <w:sz w:val="22"/>
                <w:szCs w:val="22"/>
                <w:lang w:eastAsia="en-US" w:bidi="ar-SA"/>
              </w:rPr>
              <w:t>1911-1935</w:t>
            </w:r>
          </w:p>
        </w:tc>
      </w:tr>
      <w:tr>
        <w:trPr/>
        <w:tc>
          <w:tcPr>
            <w:tcW w:w="4605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widowControl w:val="false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ascii="Calibri" w:hAnsi="Calibri" w:cstheme="minorBidi" w:eastAsiaTheme="minorHAnsi"/>
                <w:sz w:val="22"/>
                <w:szCs w:val="22"/>
                <w:lang w:eastAsia="en-US" w:bidi="ar-SA"/>
              </w:rPr>
              <w:t>Lignes d’eau de crues du Rhône</w:t>
            </w:r>
          </w:p>
        </w:tc>
        <w:tc>
          <w:tcPr>
            <w:tcW w:w="4605" w:type="dxa"/>
            <w:tcBorders/>
            <w:shd w:fill="auto" w:val="clear"/>
            <w:tcMar>
              <w:left w:w="98" w:type="dxa"/>
            </w:tcMar>
          </w:tcPr>
          <w:p>
            <w:pPr>
              <w:pStyle w:val="Normal"/>
              <w:widowControl w:val="false"/>
              <w:suppressAutoHyphens w:val="false"/>
              <w:textAlignment w:val="auto"/>
              <w:rPr>
                <w:rFonts w:ascii="Calibri" w:hAnsi="Calibri" w:eastAsia="Calibri" w:cs="" w:asciiTheme="minorHAnsi" w:cstheme="minorBidi" w:eastAsiaTheme="minorHAnsi" w:hAnsiTheme="minorHAnsi"/>
                <w:sz w:val="22"/>
                <w:szCs w:val="22"/>
                <w:lang w:eastAsia="en-US" w:bidi="ar-SA"/>
              </w:rPr>
            </w:pPr>
            <w:r>
              <w:rPr>
                <w:rFonts w:eastAsia="Calibri" w:cs="" w:ascii="Calibri" w:hAnsi="Calibri" w:cstheme="minorBidi" w:eastAsiaTheme="minorHAnsi"/>
                <w:sz w:val="22"/>
                <w:szCs w:val="22"/>
                <w:lang w:eastAsia="en-US" w:bidi="ar-SA"/>
              </w:rPr>
              <w:t>1856-1910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6">
            <wp:simplePos x="0" y="0"/>
            <wp:positionH relativeFrom="column">
              <wp:align>center</wp:align>
            </wp:positionH>
            <wp:positionV relativeFrom="paragraph">
              <wp:posOffset>3276600</wp:posOffset>
            </wp:positionV>
            <wp:extent cx="3550920" cy="875030"/>
            <wp:effectExtent l="0" t="0" r="0" b="0"/>
            <wp:wrapSquare wrapText="largest"/>
            <wp:docPr id="5" name="Image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4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0920" cy="875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  <w:docGrid w:type="default" w:linePitch="240" w:charSpace="4294961151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 Light"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roman"/>
    <w:pitch w:val="variable"/>
  </w:font>
  <w:font w:name="Tahoma">
    <w:charset w:val="00"/>
    <w:family w:val="roman"/>
    <w:pitch w:val="variable"/>
  </w:font>
  <w:font w:name="Berlin Sans FB Demi">
    <w:charset w:val="00"/>
    <w:family w:val="roman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pStyle w:val="Titre1"/>
      <w:numFmt w:val="decimal"/>
      <w:lvlText w:val="%1"/>
      <w:lvlJc w:val="left"/>
      <w:pPr>
        <w:ind w:left="432" w:hanging="432"/>
      </w:pPr>
    </w:lvl>
    <w:lvl w:ilvl="1">
      <w:start w:val="1"/>
      <w:pStyle w:val="Titre2"/>
      <w:numFmt w:val="decimal"/>
      <w:lvlText w:val="%1.%2"/>
      <w:lvlJc w:val="left"/>
      <w:pPr>
        <w:ind w:left="576" w:hanging="576"/>
      </w:pPr>
    </w:lvl>
    <w:lvl w:ilvl="2">
      <w:start w:val="1"/>
      <w:pStyle w:val="Titre3"/>
      <w:numFmt w:val="decimal"/>
      <w:lvlText w:val="%1.%2.%3"/>
      <w:lvlJc w:val="left"/>
      <w:pPr>
        <w:ind w:left="720" w:hanging="720"/>
      </w:pPr>
    </w:lvl>
    <w:lvl w:ilvl="3">
      <w:start w:val="1"/>
      <w:pStyle w:val="Titre4"/>
      <w:numFmt w:val="decimal"/>
      <w:lvlText w:val="%1.%2.%3.%4"/>
      <w:lvlJc w:val="left"/>
      <w:pPr>
        <w:ind w:left="864" w:hanging="864"/>
      </w:pPr>
    </w:lvl>
    <w:lvl w:ilvl="4">
      <w:start w:val="1"/>
      <w:pStyle w:val="Titre5"/>
      <w:numFmt w:val="decimal"/>
      <w:lvlText w:val="%1.%2.%3.%4.%5"/>
      <w:lvlJc w:val="left"/>
      <w:pPr>
        <w:ind w:left="1008" w:hanging="1008"/>
      </w:pPr>
    </w:lvl>
    <w:lvl w:ilvl="5">
      <w:start w:val="1"/>
      <w:pStyle w:val="Titre6"/>
      <w:numFmt w:val="decimal"/>
      <w:lvlText w:val="%1.%2.%3.%4.%5.%6"/>
      <w:lvlJc w:val="left"/>
      <w:pPr>
        <w:ind w:left="1152" w:hanging="1152"/>
      </w:pPr>
    </w:lvl>
    <w:lvl w:ilvl="6">
      <w:start w:val="1"/>
      <w:pStyle w:val="Titre7"/>
      <w:numFmt w:val="decimal"/>
      <w:lvlText w:val="%1.%2.%3.%4.%5.%6.%7"/>
      <w:lvlJc w:val="left"/>
      <w:pPr>
        <w:ind w:left="1296" w:hanging="1296"/>
      </w:pPr>
    </w:lvl>
    <w:lvl w:ilvl="7">
      <w:start w:val="1"/>
      <w:pStyle w:val="Titre8"/>
      <w:numFmt w:val="decimal"/>
      <w:lvlText w:val="%1.%2.%3.%4.%5.%6.%7.%8"/>
      <w:lvlJc w:val="left"/>
      <w:pPr>
        <w:ind w:left="1440" w:hanging="1440"/>
      </w:pPr>
    </w:lvl>
    <w:lvl w:ilvl="8">
      <w:start w:val="1"/>
      <w:pStyle w:val="Titre9"/>
      <w:numFmt w:val="decimal"/>
      <w:lvlText w:val="%1.%2.%3.%4.%5.%6.%7.%8.%9"/>
      <w:lvlJc w:val="left"/>
      <w:pPr>
        <w:ind w:left="1584" w:hanging="1584"/>
      </w:pPr>
    </w:lvl>
  </w:abstractNum>
  <w:abstractNum w:abstractNumId="2"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rFonts w:cs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  <w:rFonts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  <w:rFonts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  <w:rFonts w:cs="Wingdings"/>
      </w:rPr>
    </w:lvl>
  </w:abstractNum>
  <w:abstractNum w:abstractNumId="4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rFonts w:cs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  <w:rFonts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  <w:rFonts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  <w:rFonts w:cs="Wingdings"/>
      </w:rPr>
    </w:lvl>
  </w:abstractNum>
  <w:abstractNum w:abstractNumId="5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rFonts w:cs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  <w:rFonts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  <w:rFonts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  <w:rFonts w:cs="Wingdings"/>
      </w:rPr>
    </w:lvl>
  </w:abstractNum>
  <w:abstractNum w:abstractNumId="6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rFonts w:cs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  <w:rFonts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  <w:rFonts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  <w:rFonts w:cs="Wingdings"/>
      </w:rPr>
    </w:lvl>
  </w:abstractNum>
  <w:abstractNum w:abstractNumId="7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rFonts w:cs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  <w:rFonts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  <w:rFonts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  <w:rFonts w:cs="Wingding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w="http://schemas.openxmlformats.org/wordprocessingml/2006/main">
  <w:zoom w:percent="100"/>
  <w:defaultTabStop w:val="709"/>
  <w:autoHyphenation w:val="fals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Mangal"/>
        <w:szCs w:val="24"/>
        <w:lang w:val="fr-FR" w:eastAsia="zh-CN" w:bidi="hi-IN"/>
      </w:rPr>
    </w:rPrDefault>
    <w:pPrDefault>
      <w:pPr/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jc w:val="left"/>
      <w:textAlignment w:val="baseline"/>
    </w:pPr>
    <w:rPr>
      <w:rFonts w:ascii="Liberation Serif" w:hAnsi="Liberation Serif" w:eastAsia="SimSun" w:cs="Mangal"/>
      <w:color w:val="00000A"/>
      <w:sz w:val="24"/>
      <w:szCs w:val="24"/>
      <w:lang w:val="fr-FR" w:eastAsia="zh-CN" w:bidi="hi-IN"/>
    </w:rPr>
  </w:style>
  <w:style w:type="paragraph" w:styleId="Titre1">
    <w:name w:val="Heading 1"/>
    <w:basedOn w:val="Normal"/>
    <w:next w:val="Normal"/>
    <w:link w:val="Titre1Car"/>
    <w:uiPriority w:val="9"/>
    <w:qFormat/>
    <w:rsid w:val="00671a0b"/>
    <w:pPr>
      <w:keepNext/>
      <w:keepLines/>
      <w:numPr>
        <w:ilvl w:val="0"/>
        <w:numId w:val="1"/>
      </w:numPr>
      <w:suppressAutoHyphens w:val="false"/>
      <w:spacing w:lineRule="auto" w:line="259" w:before="240" w:after="0"/>
      <w:textAlignment w:val="auto"/>
      <w:outlineLvl w:val="0"/>
      <w:outlineLvl w:val="0"/>
    </w:pPr>
    <w:rPr>
      <w:rFonts w:ascii="Calibri Light" w:hAnsi="Calibri Light" w:eastAsia="" w:cs="" w:asciiTheme="majorHAnsi" w:cstheme="majorBidi" w:eastAsiaTheme="majorEastAsia" w:hAnsiTheme="majorHAnsi"/>
      <w:color w:val="2F5496" w:themeColor="accent1" w:themeShade="bf"/>
      <w:sz w:val="32"/>
      <w:szCs w:val="32"/>
      <w:lang w:eastAsia="en-US" w:bidi="ar-SA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71a0b"/>
    <w:pPr>
      <w:keepNext/>
      <w:keepLines/>
      <w:numPr>
        <w:ilvl w:val="1"/>
        <w:numId w:val="1"/>
      </w:numPr>
      <w:suppressAutoHyphens w:val="false"/>
      <w:spacing w:lineRule="auto" w:line="259" w:before="200" w:after="0"/>
      <w:textAlignment w:val="auto"/>
      <w:outlineLvl w:val="1"/>
      <w:outlineLvl w:val="1"/>
    </w:pPr>
    <w:rPr>
      <w:rFonts w:ascii="Calibri Light" w:hAnsi="Calibri Light" w:eastAsia="" w:cs="" w:asciiTheme="majorHAnsi" w:cstheme="majorBidi" w:eastAsiaTheme="majorEastAsia" w:hAnsiTheme="majorHAnsi"/>
      <w:b/>
      <w:bCs/>
      <w:color w:val="4472C4" w:themeColor="accent1"/>
      <w:sz w:val="26"/>
      <w:szCs w:val="26"/>
      <w:lang w:eastAsia="en-US" w:bidi="ar-SA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671a0b"/>
    <w:pPr>
      <w:keepNext/>
      <w:keepLines/>
      <w:numPr>
        <w:ilvl w:val="2"/>
        <w:numId w:val="1"/>
      </w:numPr>
      <w:suppressAutoHyphens w:val="false"/>
      <w:spacing w:lineRule="auto" w:line="259" w:before="40" w:after="0"/>
      <w:textAlignment w:val="auto"/>
      <w:outlineLvl w:val="2"/>
      <w:outlineLvl w:val="2"/>
    </w:pPr>
    <w:rPr>
      <w:rFonts w:ascii="Calibri Light" w:hAnsi="Calibri Light" w:eastAsia="" w:cs="" w:asciiTheme="majorHAnsi" w:cstheme="majorBidi" w:eastAsiaTheme="majorEastAsia" w:hAnsiTheme="majorHAnsi"/>
      <w:color w:val="1F3763" w:themeColor="accent1" w:themeShade="7f"/>
      <w:lang w:eastAsia="en-US" w:bidi="ar-SA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671a0b"/>
    <w:pPr>
      <w:keepNext/>
      <w:keepLines/>
      <w:numPr>
        <w:ilvl w:val="3"/>
        <w:numId w:val="1"/>
      </w:numPr>
      <w:suppressAutoHyphens w:val="false"/>
      <w:spacing w:lineRule="auto" w:line="259" w:before="40" w:after="0"/>
      <w:textAlignment w:val="auto"/>
      <w:outlineLvl w:val="3"/>
      <w:outlineLvl w:val="3"/>
    </w:pPr>
    <w:rPr>
      <w:rFonts w:ascii="Calibri Light" w:hAnsi="Calibri Light" w:eastAsia="" w:cs="" w:asciiTheme="majorHAnsi" w:cstheme="majorBidi" w:eastAsiaTheme="majorEastAsia" w:hAnsiTheme="majorHAnsi"/>
      <w:i/>
      <w:iCs/>
      <w:color w:val="2F5496" w:themeColor="accent1" w:themeShade="bf"/>
      <w:sz w:val="22"/>
      <w:szCs w:val="22"/>
      <w:lang w:eastAsia="en-US" w:bidi="ar-SA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71a0b"/>
    <w:pPr>
      <w:keepNext/>
      <w:keepLines/>
      <w:numPr>
        <w:ilvl w:val="4"/>
        <w:numId w:val="1"/>
      </w:numPr>
      <w:suppressAutoHyphens w:val="false"/>
      <w:spacing w:lineRule="auto" w:line="259" w:before="40" w:after="0"/>
      <w:textAlignment w:val="auto"/>
      <w:outlineLvl w:val="4"/>
      <w:outlineLvl w:val="4"/>
    </w:pPr>
    <w:rPr>
      <w:rFonts w:ascii="Calibri Light" w:hAnsi="Calibri Light" w:eastAsia="" w:cs="" w:asciiTheme="majorHAnsi" w:cstheme="majorBidi" w:eastAsiaTheme="majorEastAsia" w:hAnsiTheme="majorHAnsi"/>
      <w:color w:val="2F5496" w:themeColor="accent1" w:themeShade="bf"/>
      <w:sz w:val="22"/>
      <w:szCs w:val="22"/>
      <w:lang w:eastAsia="en-US" w:bidi="ar-SA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71a0b"/>
    <w:pPr>
      <w:keepNext/>
      <w:keepLines/>
      <w:numPr>
        <w:ilvl w:val="5"/>
        <w:numId w:val="1"/>
      </w:numPr>
      <w:suppressAutoHyphens w:val="false"/>
      <w:spacing w:lineRule="auto" w:line="259" w:before="40" w:after="0"/>
      <w:textAlignment w:val="auto"/>
      <w:outlineLvl w:val="5"/>
      <w:outlineLvl w:val="5"/>
    </w:pPr>
    <w:rPr>
      <w:rFonts w:ascii="Calibri Light" w:hAnsi="Calibri Light" w:eastAsia="" w:cs="" w:asciiTheme="majorHAnsi" w:cstheme="majorBidi" w:eastAsiaTheme="majorEastAsia" w:hAnsiTheme="majorHAnsi"/>
      <w:color w:val="1F3763" w:themeColor="accent1" w:themeShade="7f"/>
      <w:sz w:val="22"/>
      <w:szCs w:val="22"/>
      <w:lang w:eastAsia="en-US" w:bidi="ar-SA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71a0b"/>
    <w:pPr>
      <w:keepNext/>
      <w:keepLines/>
      <w:numPr>
        <w:ilvl w:val="6"/>
        <w:numId w:val="1"/>
      </w:numPr>
      <w:suppressAutoHyphens w:val="false"/>
      <w:spacing w:lineRule="auto" w:line="259" w:before="40" w:after="0"/>
      <w:textAlignment w:val="auto"/>
      <w:outlineLvl w:val="6"/>
      <w:outlineLvl w:val="6"/>
    </w:pPr>
    <w:rPr>
      <w:rFonts w:ascii="Calibri Light" w:hAnsi="Calibri Light" w:eastAsia="" w:cs="" w:asciiTheme="majorHAnsi" w:cstheme="majorBidi" w:eastAsiaTheme="majorEastAsia" w:hAnsiTheme="majorHAnsi"/>
      <w:i/>
      <w:iCs/>
      <w:color w:val="1F3763" w:themeColor="accent1" w:themeShade="7f"/>
      <w:sz w:val="22"/>
      <w:szCs w:val="22"/>
      <w:lang w:eastAsia="en-US" w:bidi="ar-SA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71a0b"/>
    <w:pPr>
      <w:keepNext/>
      <w:keepLines/>
      <w:numPr>
        <w:ilvl w:val="7"/>
        <w:numId w:val="1"/>
      </w:numPr>
      <w:suppressAutoHyphens w:val="false"/>
      <w:spacing w:lineRule="auto" w:line="259" w:before="40" w:after="0"/>
      <w:textAlignment w:val="auto"/>
      <w:outlineLvl w:val="7"/>
      <w:outlineLvl w:val="7"/>
    </w:pPr>
    <w:rPr>
      <w:rFonts w:ascii="Calibri Light" w:hAnsi="Calibri Light" w:eastAsia="" w:cs="" w:asciiTheme="majorHAnsi" w:cstheme="majorBidi" w:eastAsiaTheme="majorEastAsia" w:hAnsiTheme="majorHAnsi"/>
      <w:color w:val="272727" w:themeColor="text1" w:themeTint="d8"/>
      <w:sz w:val="21"/>
      <w:szCs w:val="21"/>
      <w:lang w:eastAsia="en-US" w:bidi="ar-SA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71a0b"/>
    <w:pPr>
      <w:keepNext/>
      <w:keepLines/>
      <w:numPr>
        <w:ilvl w:val="8"/>
        <w:numId w:val="1"/>
      </w:numPr>
      <w:suppressAutoHyphens w:val="false"/>
      <w:spacing w:lineRule="auto" w:line="259" w:before="40" w:after="0"/>
      <w:textAlignment w:val="auto"/>
      <w:outlineLvl w:val="8"/>
      <w:outlineLvl w:val="8"/>
    </w:pPr>
    <w:rPr>
      <w:rFonts w:ascii="Calibri Light" w:hAnsi="Calibri Light" w:eastAsia="" w:cs="" w:asciiTheme="majorHAnsi" w:cstheme="majorBidi" w:eastAsiaTheme="majorEastAsia" w:hAnsiTheme="majorHAnsi"/>
      <w:i/>
      <w:iCs/>
      <w:color w:val="272727" w:themeColor="text1" w:themeTint="d8"/>
      <w:sz w:val="21"/>
      <w:szCs w:val="21"/>
      <w:lang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Internetlink" w:customStyle="1">
    <w:name w:val="Internet link"/>
    <w:qFormat/>
    <w:rPr>
      <w:color w:val="000080"/>
      <w:u w:val="single"/>
    </w:rPr>
  </w:style>
  <w:style w:type="character" w:styleId="Titre1Car" w:customStyle="1">
    <w:name w:val="Titre 1 Car"/>
    <w:basedOn w:val="DefaultParagraphFont"/>
    <w:link w:val="Titre1"/>
    <w:uiPriority w:val="9"/>
    <w:qFormat/>
    <w:rsid w:val="00671a0b"/>
    <w:rPr>
      <w:rFonts w:ascii="Calibri Light" w:hAnsi="Calibri Light" w:eastAsia="" w:cs="" w:asciiTheme="majorHAnsi" w:cstheme="majorBidi" w:eastAsiaTheme="majorEastAsia" w:hAnsiTheme="majorHAnsi"/>
      <w:color w:val="2F5496" w:themeColor="accent1" w:themeShade="bf"/>
      <w:sz w:val="32"/>
      <w:szCs w:val="32"/>
      <w:lang w:eastAsia="en-US" w:bidi="ar-SA"/>
    </w:rPr>
  </w:style>
  <w:style w:type="character" w:styleId="Titre2Car" w:customStyle="1">
    <w:name w:val="Titre 2 Car"/>
    <w:basedOn w:val="DefaultParagraphFont"/>
    <w:link w:val="Titre2"/>
    <w:uiPriority w:val="9"/>
    <w:qFormat/>
    <w:rsid w:val="00671a0b"/>
    <w:rPr>
      <w:rFonts w:ascii="Calibri Light" w:hAnsi="Calibri Light" w:eastAsia="" w:cs="" w:asciiTheme="majorHAnsi" w:cstheme="majorBidi" w:eastAsiaTheme="majorEastAsia" w:hAnsiTheme="majorHAnsi"/>
      <w:b/>
      <w:bCs/>
      <w:color w:val="4472C4" w:themeColor="accent1"/>
      <w:sz w:val="26"/>
      <w:szCs w:val="26"/>
      <w:lang w:eastAsia="en-US" w:bidi="ar-SA"/>
    </w:rPr>
  </w:style>
  <w:style w:type="character" w:styleId="Titre3Car" w:customStyle="1">
    <w:name w:val="Titre 3 Car"/>
    <w:basedOn w:val="DefaultParagraphFont"/>
    <w:link w:val="Titre3"/>
    <w:uiPriority w:val="9"/>
    <w:qFormat/>
    <w:rsid w:val="00671a0b"/>
    <w:rPr>
      <w:rFonts w:ascii="Calibri Light" w:hAnsi="Calibri Light" w:eastAsia="" w:cs="" w:asciiTheme="majorHAnsi" w:cstheme="majorBidi" w:eastAsiaTheme="majorEastAsia" w:hAnsiTheme="majorHAnsi"/>
      <w:color w:val="1F3763" w:themeColor="accent1" w:themeShade="7f"/>
      <w:lang w:eastAsia="en-US" w:bidi="ar-SA"/>
    </w:rPr>
  </w:style>
  <w:style w:type="character" w:styleId="Titre4Car" w:customStyle="1">
    <w:name w:val="Titre 4 Car"/>
    <w:basedOn w:val="DefaultParagraphFont"/>
    <w:link w:val="Titre4"/>
    <w:uiPriority w:val="9"/>
    <w:qFormat/>
    <w:rsid w:val="00671a0b"/>
    <w:rPr>
      <w:rFonts w:ascii="Calibri Light" w:hAnsi="Calibri Light" w:eastAsia="" w:cs="" w:asciiTheme="majorHAnsi" w:cstheme="majorBidi" w:eastAsiaTheme="majorEastAsia" w:hAnsiTheme="majorHAnsi"/>
      <w:i/>
      <w:iCs/>
      <w:color w:val="2F5496" w:themeColor="accent1" w:themeShade="bf"/>
      <w:sz w:val="22"/>
      <w:szCs w:val="22"/>
      <w:lang w:eastAsia="en-US" w:bidi="ar-SA"/>
    </w:rPr>
  </w:style>
  <w:style w:type="character" w:styleId="Titre5Car" w:customStyle="1">
    <w:name w:val="Titre 5 Car"/>
    <w:basedOn w:val="DefaultParagraphFont"/>
    <w:link w:val="Titre5"/>
    <w:uiPriority w:val="9"/>
    <w:semiHidden/>
    <w:qFormat/>
    <w:rsid w:val="00671a0b"/>
    <w:rPr>
      <w:rFonts w:ascii="Calibri Light" w:hAnsi="Calibri Light" w:eastAsia="" w:cs="" w:asciiTheme="majorHAnsi" w:cstheme="majorBidi" w:eastAsiaTheme="majorEastAsia" w:hAnsiTheme="majorHAnsi"/>
      <w:color w:val="2F5496" w:themeColor="accent1" w:themeShade="bf"/>
      <w:sz w:val="22"/>
      <w:szCs w:val="22"/>
      <w:lang w:eastAsia="en-US" w:bidi="ar-SA"/>
    </w:rPr>
  </w:style>
  <w:style w:type="character" w:styleId="Titre6Car" w:customStyle="1">
    <w:name w:val="Titre 6 Car"/>
    <w:basedOn w:val="DefaultParagraphFont"/>
    <w:link w:val="Titre6"/>
    <w:uiPriority w:val="9"/>
    <w:semiHidden/>
    <w:qFormat/>
    <w:rsid w:val="00671a0b"/>
    <w:rPr>
      <w:rFonts w:ascii="Calibri Light" w:hAnsi="Calibri Light" w:eastAsia="" w:cs="" w:asciiTheme="majorHAnsi" w:cstheme="majorBidi" w:eastAsiaTheme="majorEastAsia" w:hAnsiTheme="majorHAnsi"/>
      <w:color w:val="1F3763" w:themeColor="accent1" w:themeShade="7f"/>
      <w:sz w:val="22"/>
      <w:szCs w:val="22"/>
      <w:lang w:eastAsia="en-US" w:bidi="ar-SA"/>
    </w:rPr>
  </w:style>
  <w:style w:type="character" w:styleId="Titre7Car" w:customStyle="1">
    <w:name w:val="Titre 7 Car"/>
    <w:basedOn w:val="DefaultParagraphFont"/>
    <w:link w:val="Titre7"/>
    <w:uiPriority w:val="9"/>
    <w:semiHidden/>
    <w:qFormat/>
    <w:rsid w:val="00671a0b"/>
    <w:rPr>
      <w:rFonts w:ascii="Calibri Light" w:hAnsi="Calibri Light" w:eastAsia="" w:cs="" w:asciiTheme="majorHAnsi" w:cstheme="majorBidi" w:eastAsiaTheme="majorEastAsia" w:hAnsiTheme="majorHAnsi"/>
      <w:i/>
      <w:iCs/>
      <w:color w:val="1F3763" w:themeColor="accent1" w:themeShade="7f"/>
      <w:sz w:val="22"/>
      <w:szCs w:val="22"/>
      <w:lang w:eastAsia="en-US" w:bidi="ar-SA"/>
    </w:rPr>
  </w:style>
  <w:style w:type="character" w:styleId="Titre8Car" w:customStyle="1">
    <w:name w:val="Titre 8 Car"/>
    <w:basedOn w:val="DefaultParagraphFont"/>
    <w:link w:val="Titre8"/>
    <w:uiPriority w:val="9"/>
    <w:semiHidden/>
    <w:qFormat/>
    <w:rsid w:val="00671a0b"/>
    <w:rPr>
      <w:rFonts w:ascii="Calibri Light" w:hAnsi="Calibri Light" w:eastAsia="" w:cs="" w:asciiTheme="majorHAnsi" w:cstheme="majorBidi" w:eastAsiaTheme="majorEastAsia" w:hAnsiTheme="majorHAnsi"/>
      <w:color w:val="272727" w:themeColor="text1" w:themeTint="d8"/>
      <w:sz w:val="21"/>
      <w:szCs w:val="21"/>
      <w:lang w:eastAsia="en-US" w:bidi="ar-SA"/>
    </w:rPr>
  </w:style>
  <w:style w:type="character" w:styleId="Titre9Car" w:customStyle="1">
    <w:name w:val="Titre 9 Car"/>
    <w:basedOn w:val="DefaultParagraphFont"/>
    <w:link w:val="Titre9"/>
    <w:uiPriority w:val="9"/>
    <w:semiHidden/>
    <w:qFormat/>
    <w:rsid w:val="00671a0b"/>
    <w:rPr>
      <w:rFonts w:ascii="Calibri Light" w:hAnsi="Calibri Light" w:eastAsia="" w:cs="" w:asciiTheme="majorHAnsi" w:cstheme="majorBidi" w:eastAsiaTheme="majorEastAsia" w:hAnsiTheme="majorHAnsi"/>
      <w:i/>
      <w:iCs/>
      <w:color w:val="272727" w:themeColor="text1" w:themeTint="d8"/>
      <w:sz w:val="21"/>
      <w:szCs w:val="21"/>
      <w:lang w:eastAsia="en-US" w:bidi="ar-SA"/>
    </w:rPr>
  </w:style>
  <w:style w:type="character" w:styleId="ListLabel1">
    <w:name w:val="ListLabel 1"/>
    <w:qFormat/>
    <w:rPr>
      <w:rFonts w:cs="Courier New"/>
    </w:rPr>
  </w:style>
  <w:style w:type="character" w:styleId="ListLabel2">
    <w:name w:val="ListLabel 2"/>
    <w:qFormat/>
    <w:rPr>
      <w:rFonts w:cs="Courier New"/>
    </w:rPr>
  </w:style>
  <w:style w:type="character" w:styleId="ListLabel3">
    <w:name w:val="ListLabel 3"/>
    <w:qFormat/>
    <w:rPr>
      <w:rFonts w:cs="Courier New"/>
    </w:rPr>
  </w:style>
  <w:style w:type="character" w:styleId="ListLabel4">
    <w:name w:val="ListLabel 4"/>
    <w:qFormat/>
    <w:rPr>
      <w:rFonts w:cs="Courier New"/>
    </w:rPr>
  </w:style>
  <w:style w:type="character" w:styleId="ListLabel5">
    <w:name w:val="ListLabel 5"/>
    <w:qFormat/>
    <w:rPr>
      <w:rFonts w:cs="Courier New"/>
    </w:rPr>
  </w:style>
  <w:style w:type="character" w:styleId="ListLabel6">
    <w:name w:val="ListLabel 6"/>
    <w:qFormat/>
    <w:rPr>
      <w:rFonts w:cs="Courier New"/>
    </w:rPr>
  </w:style>
  <w:style w:type="character" w:styleId="ListLabel7">
    <w:name w:val="ListLabel 7"/>
    <w:qFormat/>
    <w:rPr>
      <w:rFonts w:cs="Courier New"/>
    </w:rPr>
  </w:style>
  <w:style w:type="character" w:styleId="ListLabel8">
    <w:name w:val="ListLabel 8"/>
    <w:qFormat/>
    <w:rPr>
      <w:rFonts w:cs="Courier New"/>
    </w:rPr>
  </w:style>
  <w:style w:type="character" w:styleId="ListLabel9">
    <w:name w:val="ListLabel 9"/>
    <w:qFormat/>
    <w:rPr>
      <w:rFonts w:cs="Courier New"/>
    </w:rPr>
  </w:style>
  <w:style w:type="character" w:styleId="ListLabel10">
    <w:name w:val="ListLabel 10"/>
    <w:qFormat/>
    <w:rPr>
      <w:rFonts w:cs="Courier New"/>
    </w:rPr>
  </w:style>
  <w:style w:type="character" w:styleId="ListLabel11">
    <w:name w:val="ListLabel 11"/>
    <w:qFormat/>
    <w:rPr>
      <w:rFonts w:cs="Courier New"/>
    </w:rPr>
  </w:style>
  <w:style w:type="character" w:styleId="ListLabel12">
    <w:name w:val="ListLabel 12"/>
    <w:qFormat/>
    <w:rPr>
      <w:rFonts w:cs="Courier New"/>
    </w:rPr>
  </w:style>
  <w:style w:type="character" w:styleId="ListLabel13">
    <w:name w:val="ListLabel 13"/>
    <w:qFormat/>
    <w:rPr>
      <w:rFonts w:cs="Courier New"/>
    </w:rPr>
  </w:style>
  <w:style w:type="character" w:styleId="ListLabel14">
    <w:name w:val="ListLabel 14"/>
    <w:qFormat/>
    <w:rPr>
      <w:rFonts w:cs="Courier New"/>
    </w:rPr>
  </w:style>
  <w:style w:type="character" w:styleId="ListLabel15">
    <w:name w:val="ListLabel 15"/>
    <w:qFormat/>
    <w:rPr>
      <w:rFonts w:cs="Courier New"/>
    </w:rPr>
  </w:style>
  <w:style w:type="character" w:styleId="LienInternet">
    <w:name w:val="Lien Internet"/>
    <w:rPr>
      <w:color w:val="000080"/>
      <w:u w:val="single"/>
      <w:lang w:val="zxx" w:eastAsia="zxx" w:bidi="zxx"/>
    </w:rPr>
  </w:style>
  <w:style w:type="character" w:styleId="ListLabel16">
    <w:name w:val="ListLabel 16"/>
    <w:qFormat/>
    <w:rPr>
      <w:rFonts w:cs="Symbol"/>
      <w:b/>
    </w:rPr>
  </w:style>
  <w:style w:type="character" w:styleId="ListLabel17">
    <w:name w:val="ListLabel 17"/>
    <w:qFormat/>
    <w:rPr>
      <w:rFonts w:cs="Courier New"/>
    </w:rPr>
  </w:style>
  <w:style w:type="character" w:styleId="ListLabel18">
    <w:name w:val="ListLabel 18"/>
    <w:qFormat/>
    <w:rPr>
      <w:rFonts w:cs="Wingdings"/>
    </w:rPr>
  </w:style>
  <w:style w:type="character" w:styleId="ListLabel19">
    <w:name w:val="ListLabel 19"/>
    <w:qFormat/>
    <w:rPr>
      <w:rFonts w:cs="Symbol"/>
    </w:rPr>
  </w:style>
  <w:style w:type="character" w:styleId="ListLabel20">
    <w:name w:val="ListLabel 20"/>
    <w:qFormat/>
    <w:rPr>
      <w:rFonts w:cs="Courier New"/>
    </w:rPr>
  </w:style>
  <w:style w:type="character" w:styleId="ListLabel21">
    <w:name w:val="ListLabel 21"/>
    <w:qFormat/>
    <w:rPr>
      <w:rFonts w:cs="Wingdings"/>
    </w:rPr>
  </w:style>
  <w:style w:type="character" w:styleId="ListLabel22">
    <w:name w:val="ListLabel 22"/>
    <w:qFormat/>
    <w:rPr>
      <w:rFonts w:cs="Symbol"/>
    </w:rPr>
  </w:style>
  <w:style w:type="character" w:styleId="ListLabel23">
    <w:name w:val="ListLabel 23"/>
    <w:qFormat/>
    <w:rPr>
      <w:rFonts w:cs="Courier New"/>
    </w:rPr>
  </w:style>
  <w:style w:type="character" w:styleId="ListLabel24">
    <w:name w:val="ListLabel 24"/>
    <w:qFormat/>
    <w:rPr>
      <w:rFonts w:cs="Wingdings"/>
    </w:rPr>
  </w:style>
  <w:style w:type="character" w:styleId="ListLabel25">
    <w:name w:val="ListLabel 25"/>
    <w:qFormat/>
    <w:rPr>
      <w:rFonts w:ascii="Calibri" w:hAnsi="Calibri" w:cs="Symbol"/>
    </w:rPr>
  </w:style>
  <w:style w:type="character" w:styleId="ListLabel26">
    <w:name w:val="ListLabel 26"/>
    <w:qFormat/>
    <w:rPr>
      <w:rFonts w:cs="Courier New"/>
    </w:rPr>
  </w:style>
  <w:style w:type="character" w:styleId="ListLabel27">
    <w:name w:val="ListLabel 27"/>
    <w:qFormat/>
    <w:rPr>
      <w:rFonts w:cs="Wingdings"/>
    </w:rPr>
  </w:style>
  <w:style w:type="character" w:styleId="ListLabel28">
    <w:name w:val="ListLabel 28"/>
    <w:qFormat/>
    <w:rPr>
      <w:rFonts w:cs="Symbol"/>
    </w:rPr>
  </w:style>
  <w:style w:type="character" w:styleId="ListLabel29">
    <w:name w:val="ListLabel 29"/>
    <w:qFormat/>
    <w:rPr>
      <w:rFonts w:cs="Courier New"/>
    </w:rPr>
  </w:style>
  <w:style w:type="character" w:styleId="ListLabel30">
    <w:name w:val="ListLabel 30"/>
    <w:qFormat/>
    <w:rPr>
      <w:rFonts w:cs="Wingdings"/>
    </w:rPr>
  </w:style>
  <w:style w:type="character" w:styleId="ListLabel31">
    <w:name w:val="ListLabel 31"/>
    <w:qFormat/>
    <w:rPr>
      <w:rFonts w:cs="Symbol"/>
    </w:rPr>
  </w:style>
  <w:style w:type="character" w:styleId="ListLabel32">
    <w:name w:val="ListLabel 32"/>
    <w:qFormat/>
    <w:rPr>
      <w:rFonts w:cs="Courier New"/>
    </w:rPr>
  </w:style>
  <w:style w:type="character" w:styleId="ListLabel33">
    <w:name w:val="ListLabel 33"/>
    <w:qFormat/>
    <w:rPr>
      <w:rFonts w:cs="Wingdings"/>
    </w:rPr>
  </w:style>
  <w:style w:type="character" w:styleId="ListLabel34">
    <w:name w:val="ListLabel 34"/>
    <w:qFormat/>
    <w:rPr>
      <w:rFonts w:ascii="Calibri" w:hAnsi="Calibri" w:cs="Symbol"/>
    </w:rPr>
  </w:style>
  <w:style w:type="character" w:styleId="ListLabel35">
    <w:name w:val="ListLabel 35"/>
    <w:qFormat/>
    <w:rPr>
      <w:rFonts w:cs="Courier New"/>
    </w:rPr>
  </w:style>
  <w:style w:type="character" w:styleId="ListLabel36">
    <w:name w:val="ListLabel 36"/>
    <w:qFormat/>
    <w:rPr>
      <w:rFonts w:cs="Wingdings"/>
    </w:rPr>
  </w:style>
  <w:style w:type="character" w:styleId="ListLabel37">
    <w:name w:val="ListLabel 37"/>
    <w:qFormat/>
    <w:rPr>
      <w:rFonts w:cs="Symbol"/>
    </w:rPr>
  </w:style>
  <w:style w:type="character" w:styleId="ListLabel38">
    <w:name w:val="ListLabel 38"/>
    <w:qFormat/>
    <w:rPr>
      <w:rFonts w:cs="Courier New"/>
    </w:rPr>
  </w:style>
  <w:style w:type="character" w:styleId="ListLabel39">
    <w:name w:val="ListLabel 39"/>
    <w:qFormat/>
    <w:rPr>
      <w:rFonts w:cs="Wingdings"/>
    </w:rPr>
  </w:style>
  <w:style w:type="character" w:styleId="ListLabel40">
    <w:name w:val="ListLabel 40"/>
    <w:qFormat/>
    <w:rPr>
      <w:rFonts w:cs="Symbol"/>
    </w:rPr>
  </w:style>
  <w:style w:type="character" w:styleId="ListLabel41">
    <w:name w:val="ListLabel 41"/>
    <w:qFormat/>
    <w:rPr>
      <w:rFonts w:cs="Courier New"/>
    </w:rPr>
  </w:style>
  <w:style w:type="character" w:styleId="ListLabel42">
    <w:name w:val="ListLabel 42"/>
    <w:qFormat/>
    <w:rPr>
      <w:rFonts w:cs="Wingdings"/>
    </w:rPr>
  </w:style>
  <w:style w:type="character" w:styleId="ListLabel43">
    <w:name w:val="ListLabel 43"/>
    <w:qFormat/>
    <w:rPr>
      <w:rFonts w:ascii="Calibri" w:hAnsi="Calibri" w:cs="Symbol"/>
    </w:rPr>
  </w:style>
  <w:style w:type="character" w:styleId="ListLabel44">
    <w:name w:val="ListLabel 44"/>
    <w:qFormat/>
    <w:rPr>
      <w:rFonts w:cs="Courier New"/>
    </w:rPr>
  </w:style>
  <w:style w:type="character" w:styleId="ListLabel45">
    <w:name w:val="ListLabel 45"/>
    <w:qFormat/>
    <w:rPr>
      <w:rFonts w:cs="Wingdings"/>
    </w:rPr>
  </w:style>
  <w:style w:type="character" w:styleId="ListLabel46">
    <w:name w:val="ListLabel 46"/>
    <w:qFormat/>
    <w:rPr>
      <w:rFonts w:cs="Symbol"/>
    </w:rPr>
  </w:style>
  <w:style w:type="character" w:styleId="ListLabel47">
    <w:name w:val="ListLabel 47"/>
    <w:qFormat/>
    <w:rPr>
      <w:rFonts w:cs="Courier New"/>
    </w:rPr>
  </w:style>
  <w:style w:type="character" w:styleId="ListLabel48">
    <w:name w:val="ListLabel 48"/>
    <w:qFormat/>
    <w:rPr>
      <w:rFonts w:cs="Wingdings"/>
    </w:rPr>
  </w:style>
  <w:style w:type="character" w:styleId="ListLabel49">
    <w:name w:val="ListLabel 49"/>
    <w:qFormat/>
    <w:rPr>
      <w:rFonts w:cs="Symbol"/>
    </w:rPr>
  </w:style>
  <w:style w:type="character" w:styleId="ListLabel50">
    <w:name w:val="ListLabel 50"/>
    <w:qFormat/>
    <w:rPr>
      <w:rFonts w:cs="Courier New"/>
    </w:rPr>
  </w:style>
  <w:style w:type="character" w:styleId="ListLabel51">
    <w:name w:val="ListLabel 51"/>
    <w:qFormat/>
    <w:rPr>
      <w:rFonts w:cs="Wingdings"/>
    </w:rPr>
  </w:style>
  <w:style w:type="character" w:styleId="ListLabel52">
    <w:name w:val="ListLabel 52"/>
    <w:qFormat/>
    <w:rPr>
      <w:rFonts w:cs="Symbol"/>
    </w:rPr>
  </w:style>
  <w:style w:type="character" w:styleId="ListLabel53">
    <w:name w:val="ListLabel 53"/>
    <w:qFormat/>
    <w:rPr>
      <w:rFonts w:cs="Courier New"/>
    </w:rPr>
  </w:style>
  <w:style w:type="character" w:styleId="ListLabel54">
    <w:name w:val="ListLabel 54"/>
    <w:qFormat/>
    <w:rPr>
      <w:rFonts w:cs="Wingdings"/>
    </w:rPr>
  </w:style>
  <w:style w:type="character" w:styleId="ListLabel55">
    <w:name w:val="ListLabel 55"/>
    <w:qFormat/>
    <w:rPr>
      <w:rFonts w:cs="Symbol"/>
    </w:rPr>
  </w:style>
  <w:style w:type="character" w:styleId="ListLabel56">
    <w:name w:val="ListLabel 56"/>
    <w:qFormat/>
    <w:rPr>
      <w:rFonts w:cs="Courier New"/>
    </w:rPr>
  </w:style>
  <w:style w:type="character" w:styleId="ListLabel57">
    <w:name w:val="ListLabel 57"/>
    <w:qFormat/>
    <w:rPr>
      <w:rFonts w:cs="Wingdings"/>
    </w:rPr>
  </w:style>
  <w:style w:type="character" w:styleId="ListLabel58">
    <w:name w:val="ListLabel 58"/>
    <w:qFormat/>
    <w:rPr>
      <w:rFonts w:cs="Symbol"/>
    </w:rPr>
  </w:style>
  <w:style w:type="character" w:styleId="ListLabel59">
    <w:name w:val="ListLabel 59"/>
    <w:qFormat/>
    <w:rPr>
      <w:rFonts w:cs="Courier New"/>
    </w:rPr>
  </w:style>
  <w:style w:type="character" w:styleId="ListLabel60">
    <w:name w:val="ListLabel 60"/>
    <w:qFormat/>
    <w:rPr>
      <w:rFonts w:cs="Wingdings"/>
    </w:rPr>
  </w:style>
  <w:style w:type="character" w:styleId="ListLabel61">
    <w:name w:val="ListLabel 61"/>
    <w:qFormat/>
    <w:rPr>
      <w:rFonts w:cs="Symbol"/>
      <w:b/>
    </w:rPr>
  </w:style>
  <w:style w:type="character" w:styleId="ListLabel62">
    <w:name w:val="ListLabel 62"/>
    <w:qFormat/>
    <w:rPr>
      <w:rFonts w:cs="Courier New"/>
    </w:rPr>
  </w:style>
  <w:style w:type="character" w:styleId="ListLabel63">
    <w:name w:val="ListLabel 63"/>
    <w:qFormat/>
    <w:rPr>
      <w:rFonts w:cs="Wingdings"/>
    </w:rPr>
  </w:style>
  <w:style w:type="character" w:styleId="ListLabel64">
    <w:name w:val="ListLabel 64"/>
    <w:qFormat/>
    <w:rPr>
      <w:rFonts w:cs="Symbol"/>
    </w:rPr>
  </w:style>
  <w:style w:type="character" w:styleId="ListLabel65">
    <w:name w:val="ListLabel 65"/>
    <w:qFormat/>
    <w:rPr>
      <w:rFonts w:cs="Courier New"/>
    </w:rPr>
  </w:style>
  <w:style w:type="character" w:styleId="ListLabel66">
    <w:name w:val="ListLabel 66"/>
    <w:qFormat/>
    <w:rPr>
      <w:rFonts w:cs="Wingdings"/>
    </w:rPr>
  </w:style>
  <w:style w:type="character" w:styleId="ListLabel67">
    <w:name w:val="ListLabel 67"/>
    <w:qFormat/>
    <w:rPr>
      <w:rFonts w:cs="Symbol"/>
    </w:rPr>
  </w:style>
  <w:style w:type="character" w:styleId="ListLabel68">
    <w:name w:val="ListLabel 68"/>
    <w:qFormat/>
    <w:rPr>
      <w:rFonts w:cs="Courier New"/>
    </w:rPr>
  </w:style>
  <w:style w:type="character" w:styleId="ListLabel69">
    <w:name w:val="ListLabel 69"/>
    <w:qFormat/>
    <w:rPr>
      <w:rFonts w:cs="Wingdings"/>
    </w:rPr>
  </w:style>
  <w:style w:type="character" w:styleId="ListLabel70">
    <w:name w:val="ListLabel 70"/>
    <w:qFormat/>
    <w:rPr>
      <w:rFonts w:ascii="Calibri" w:hAnsi="Calibri" w:cs="Symbol"/>
    </w:rPr>
  </w:style>
  <w:style w:type="character" w:styleId="ListLabel71">
    <w:name w:val="ListLabel 71"/>
    <w:qFormat/>
    <w:rPr>
      <w:rFonts w:cs="Courier New"/>
    </w:rPr>
  </w:style>
  <w:style w:type="character" w:styleId="ListLabel72">
    <w:name w:val="ListLabel 72"/>
    <w:qFormat/>
    <w:rPr>
      <w:rFonts w:cs="Wingdings"/>
    </w:rPr>
  </w:style>
  <w:style w:type="character" w:styleId="ListLabel73">
    <w:name w:val="ListLabel 73"/>
    <w:qFormat/>
    <w:rPr>
      <w:rFonts w:cs="Symbol"/>
    </w:rPr>
  </w:style>
  <w:style w:type="character" w:styleId="ListLabel74">
    <w:name w:val="ListLabel 74"/>
    <w:qFormat/>
    <w:rPr>
      <w:rFonts w:cs="Courier New"/>
    </w:rPr>
  </w:style>
  <w:style w:type="character" w:styleId="ListLabel75">
    <w:name w:val="ListLabel 75"/>
    <w:qFormat/>
    <w:rPr>
      <w:rFonts w:cs="Wingdings"/>
    </w:rPr>
  </w:style>
  <w:style w:type="character" w:styleId="ListLabel76">
    <w:name w:val="ListLabel 76"/>
    <w:qFormat/>
    <w:rPr>
      <w:rFonts w:cs="Symbol"/>
    </w:rPr>
  </w:style>
  <w:style w:type="character" w:styleId="ListLabel77">
    <w:name w:val="ListLabel 77"/>
    <w:qFormat/>
    <w:rPr>
      <w:rFonts w:cs="Courier New"/>
    </w:rPr>
  </w:style>
  <w:style w:type="character" w:styleId="ListLabel78">
    <w:name w:val="ListLabel 78"/>
    <w:qFormat/>
    <w:rPr>
      <w:rFonts w:cs="Wingdings"/>
    </w:rPr>
  </w:style>
  <w:style w:type="character" w:styleId="ListLabel79">
    <w:name w:val="ListLabel 79"/>
    <w:qFormat/>
    <w:rPr>
      <w:rFonts w:ascii="Calibri" w:hAnsi="Calibri" w:cs="Symbol"/>
    </w:rPr>
  </w:style>
  <w:style w:type="character" w:styleId="ListLabel80">
    <w:name w:val="ListLabel 80"/>
    <w:qFormat/>
    <w:rPr>
      <w:rFonts w:cs="Courier New"/>
    </w:rPr>
  </w:style>
  <w:style w:type="character" w:styleId="ListLabel81">
    <w:name w:val="ListLabel 81"/>
    <w:qFormat/>
    <w:rPr>
      <w:rFonts w:cs="Wingdings"/>
    </w:rPr>
  </w:style>
  <w:style w:type="character" w:styleId="ListLabel82">
    <w:name w:val="ListLabel 82"/>
    <w:qFormat/>
    <w:rPr>
      <w:rFonts w:cs="Symbol"/>
    </w:rPr>
  </w:style>
  <w:style w:type="character" w:styleId="ListLabel83">
    <w:name w:val="ListLabel 83"/>
    <w:qFormat/>
    <w:rPr>
      <w:rFonts w:cs="Courier New"/>
    </w:rPr>
  </w:style>
  <w:style w:type="character" w:styleId="ListLabel84">
    <w:name w:val="ListLabel 84"/>
    <w:qFormat/>
    <w:rPr>
      <w:rFonts w:cs="Wingdings"/>
    </w:rPr>
  </w:style>
  <w:style w:type="character" w:styleId="ListLabel85">
    <w:name w:val="ListLabel 85"/>
    <w:qFormat/>
    <w:rPr>
      <w:rFonts w:cs="Symbol"/>
    </w:rPr>
  </w:style>
  <w:style w:type="character" w:styleId="ListLabel86">
    <w:name w:val="ListLabel 86"/>
    <w:qFormat/>
    <w:rPr>
      <w:rFonts w:cs="Courier New"/>
    </w:rPr>
  </w:style>
  <w:style w:type="character" w:styleId="ListLabel87">
    <w:name w:val="ListLabel 87"/>
    <w:qFormat/>
    <w:rPr>
      <w:rFonts w:cs="Wingdings"/>
    </w:rPr>
  </w:style>
  <w:style w:type="character" w:styleId="ListLabel88">
    <w:name w:val="ListLabel 88"/>
    <w:qFormat/>
    <w:rPr>
      <w:rFonts w:ascii="Calibri" w:hAnsi="Calibri" w:cs="Symbol"/>
    </w:rPr>
  </w:style>
  <w:style w:type="character" w:styleId="ListLabel89">
    <w:name w:val="ListLabel 89"/>
    <w:qFormat/>
    <w:rPr>
      <w:rFonts w:cs="Courier New"/>
    </w:rPr>
  </w:style>
  <w:style w:type="character" w:styleId="ListLabel90">
    <w:name w:val="ListLabel 90"/>
    <w:qFormat/>
    <w:rPr>
      <w:rFonts w:cs="Wingdings"/>
    </w:rPr>
  </w:style>
  <w:style w:type="character" w:styleId="ListLabel91">
    <w:name w:val="ListLabel 91"/>
    <w:qFormat/>
    <w:rPr>
      <w:rFonts w:cs="Symbol"/>
    </w:rPr>
  </w:style>
  <w:style w:type="character" w:styleId="ListLabel92">
    <w:name w:val="ListLabel 92"/>
    <w:qFormat/>
    <w:rPr>
      <w:rFonts w:cs="Courier New"/>
    </w:rPr>
  </w:style>
  <w:style w:type="character" w:styleId="ListLabel93">
    <w:name w:val="ListLabel 93"/>
    <w:qFormat/>
    <w:rPr>
      <w:rFonts w:cs="Wingdings"/>
    </w:rPr>
  </w:style>
  <w:style w:type="character" w:styleId="ListLabel94">
    <w:name w:val="ListLabel 94"/>
    <w:qFormat/>
    <w:rPr>
      <w:rFonts w:cs="Symbol"/>
    </w:rPr>
  </w:style>
  <w:style w:type="character" w:styleId="ListLabel95">
    <w:name w:val="ListLabel 95"/>
    <w:qFormat/>
    <w:rPr>
      <w:rFonts w:cs="Courier New"/>
    </w:rPr>
  </w:style>
  <w:style w:type="character" w:styleId="ListLabel96">
    <w:name w:val="ListLabel 96"/>
    <w:qFormat/>
    <w:rPr>
      <w:rFonts w:cs="Wingdings"/>
    </w:rPr>
  </w:style>
  <w:style w:type="character" w:styleId="ListLabel97">
    <w:name w:val="ListLabel 97"/>
    <w:qFormat/>
    <w:rPr>
      <w:rFonts w:cs="Symbol"/>
    </w:rPr>
  </w:style>
  <w:style w:type="character" w:styleId="ListLabel98">
    <w:name w:val="ListLabel 98"/>
    <w:qFormat/>
    <w:rPr>
      <w:rFonts w:cs="Courier New"/>
    </w:rPr>
  </w:style>
  <w:style w:type="character" w:styleId="ListLabel99">
    <w:name w:val="ListLabel 99"/>
    <w:qFormat/>
    <w:rPr>
      <w:rFonts w:cs="Wingdings"/>
    </w:rPr>
  </w:style>
  <w:style w:type="character" w:styleId="ListLabel100">
    <w:name w:val="ListLabel 100"/>
    <w:qFormat/>
    <w:rPr>
      <w:rFonts w:cs="Symbol"/>
    </w:rPr>
  </w:style>
  <w:style w:type="character" w:styleId="ListLabel101">
    <w:name w:val="ListLabel 101"/>
    <w:qFormat/>
    <w:rPr>
      <w:rFonts w:cs="Courier New"/>
    </w:rPr>
  </w:style>
  <w:style w:type="character" w:styleId="ListLabel102">
    <w:name w:val="ListLabel 102"/>
    <w:qFormat/>
    <w:rPr>
      <w:rFonts w:cs="Wingdings"/>
    </w:rPr>
  </w:style>
  <w:style w:type="character" w:styleId="ListLabel103">
    <w:name w:val="ListLabel 103"/>
    <w:qFormat/>
    <w:rPr>
      <w:rFonts w:cs="Symbol"/>
    </w:rPr>
  </w:style>
  <w:style w:type="character" w:styleId="ListLabel104">
    <w:name w:val="ListLabel 104"/>
    <w:qFormat/>
    <w:rPr>
      <w:rFonts w:cs="Courier New"/>
    </w:rPr>
  </w:style>
  <w:style w:type="character" w:styleId="ListLabel105">
    <w:name w:val="ListLabel 105"/>
    <w:qFormat/>
    <w:rPr>
      <w:rFonts w:cs="Wingdings"/>
    </w:rPr>
  </w:style>
  <w:style w:type="paragraph" w:styleId="Titre" w:customStyle="1">
    <w:name w:val="Titre"/>
    <w:basedOn w:val="Normal"/>
    <w:next w:val="Corpsdetexte"/>
    <w:qFormat/>
    <w:pPr>
      <w:keepNext/>
      <w:widowControl w:val="false"/>
      <w:bidi w:val="0"/>
      <w:spacing w:before="240" w:after="120"/>
      <w:jc w:val="left"/>
    </w:pPr>
    <w:rPr>
      <w:rFonts w:ascii="Liberation Sans" w:hAnsi="Liberation Sans" w:eastAsia="Microsoft YaHei" w:cs="Mangal"/>
      <w:color w:val="00000A"/>
      <w:sz w:val="28"/>
      <w:szCs w:val="28"/>
      <w:lang w:val="fr-FR" w:eastAsia="zh-CN" w:bidi="hi-IN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>
      <w:widowControl w:val="false"/>
      <w:bidi w:val="0"/>
      <w:jc w:val="left"/>
    </w:pPr>
    <w:rPr>
      <w:rFonts w:ascii="Liberation Serif" w:hAnsi="Liberation Serif" w:eastAsia="SimSun" w:cs="Mangal"/>
      <w:color w:val="00000A"/>
      <w:sz w:val="24"/>
      <w:szCs w:val="24"/>
      <w:lang w:val="fr-FR" w:eastAsia="zh-CN" w:bidi="hi-IN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 w:customStyle="1">
    <w:name w:val="Index"/>
    <w:basedOn w:val="Normal"/>
    <w:qFormat/>
    <w:pPr>
      <w:widowControl w:val="false"/>
      <w:suppressLineNumbers/>
      <w:bidi w:val="0"/>
      <w:jc w:val="left"/>
    </w:pPr>
    <w:rPr>
      <w:rFonts w:ascii="Liberation Serif" w:hAnsi="Liberation Serif" w:eastAsia="SimSun" w:cs="Mangal"/>
      <w:color w:val="00000A"/>
      <w:sz w:val="24"/>
      <w:szCs w:val="24"/>
      <w:lang w:val="fr-FR" w:eastAsia="zh-CN" w:bidi="hi-IN"/>
    </w:rPr>
  </w:style>
  <w:style w:type="paragraph" w:styleId="Standard" w:customStyle="1">
    <w:name w:val="Standard"/>
    <w:qFormat/>
    <w:pPr>
      <w:widowControl/>
      <w:bidi w:val="0"/>
      <w:jc w:val="left"/>
    </w:pPr>
    <w:rPr>
      <w:rFonts w:ascii="Liberation Serif" w:hAnsi="Liberation Serif" w:eastAsia="SimSun" w:cs="Mangal"/>
      <w:color w:val="00000A"/>
      <w:sz w:val="24"/>
      <w:szCs w:val="24"/>
      <w:lang w:val="fr-FR" w:eastAsia="zh-CN" w:bidi="hi-IN"/>
    </w:rPr>
  </w:style>
  <w:style w:type="paragraph" w:styleId="Textbody" w:customStyle="1">
    <w:name w:val="Text body"/>
    <w:basedOn w:val="Standard"/>
    <w:qFormat/>
    <w:pPr>
      <w:spacing w:lineRule="auto" w:line="288" w:before="0" w:after="140"/>
    </w:pPr>
    <w:rPr/>
  </w:style>
  <w:style w:type="paragraph" w:styleId="Caption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styleId="ListParagraph">
    <w:name w:val="List Paragraph"/>
    <w:basedOn w:val="Normal"/>
    <w:uiPriority w:val="34"/>
    <w:qFormat/>
    <w:rsid w:val="00671a0b"/>
    <w:pPr>
      <w:suppressAutoHyphens w:val="false"/>
      <w:spacing w:lineRule="auto" w:line="259" w:before="0" w:after="160"/>
      <w:ind w:left="720" w:hanging="0"/>
      <w:contextualSpacing/>
      <w:textAlignment w:val="auto"/>
    </w:pPr>
    <w:rPr>
      <w:rFonts w:ascii="Calibri" w:hAnsi="Calibri" w:eastAsia="Calibri" w:cs="" w:asciiTheme="minorHAnsi" w:cstheme="minorBidi" w:eastAsiaTheme="minorHAnsi" w:hAnsiTheme="minorHAnsi"/>
      <w:sz w:val="22"/>
      <w:szCs w:val="22"/>
      <w:lang w:eastAsia="en-US" w:bidi="ar-SA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Grilledutableau">
    <w:name w:val="Table Grid"/>
    <w:basedOn w:val="TableauNormal"/>
    <w:uiPriority w:val="39"/>
    <w:rsid w:val="00660cca"/>
    <w:rPr>
      <w:rFonts w:asciiTheme="minorHAnsi" w:hAnsiTheme="minorHAnsi" w:eastAsiaTheme="minorHAnsi" w:cstheme="minorBidi"/>
      <w:lang w:eastAsia="en-US" w:bidi="ar-SA"/>
      <w:sz w:val="22"/>
      <w:szCs w:val="22"/>
    </w:rPr>
    <w:tblPr>
      <w:tblInd w:w="0" w:type="nil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jpeg"/><Relationship Id="rId4" Type="http://schemas.openxmlformats.org/officeDocument/2006/relationships/image" Target="media/image3.png"/><Relationship Id="rId5" Type="http://schemas.openxmlformats.org/officeDocument/2006/relationships/image" Target="media/image4.jpeg"/><Relationship Id="rId6" Type="http://schemas.openxmlformats.org/officeDocument/2006/relationships/hyperlink" Target="http://www.planrhone.fr/" TargetMode="External"/><Relationship Id="rId7" Type="http://schemas.openxmlformats.org/officeDocument/2006/relationships/image" Target="media/image5.jpeg"/><Relationship Id="rId8" Type="http://schemas.openxmlformats.org/officeDocument/2006/relationships/numbering" Target="numbering.xml"/><Relationship Id="rId9" Type="http://schemas.openxmlformats.org/officeDocument/2006/relationships/fontTable" Target="fontTable.xml"/><Relationship Id="rId10" Type="http://schemas.openxmlformats.org/officeDocument/2006/relationships/settings" Target="settings.xml"/><Relationship Id="rId11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</TotalTime>
  <Application>LibreOffice/5.2.6.2$Windows_x86 LibreOffice_project/a3100ed2409ebf1c212f5048fbe377c281438fdc</Application>
  <Pages>9</Pages>
  <Words>1171</Words>
  <Characters>5814</Characters>
  <CharactersWithSpaces>6519</CharactersWithSpaces>
  <Paragraphs>350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2018-05-07T08:47:00Z</dcterms:created>
  <dc:creator>Pascal BILLY</dc:creator>
  <dc:description/>
  <dc:language>fr-FR</dc:language>
  <cp:lastModifiedBy>Pascal BILLY</cp:lastModifiedBy>
  <cp:lastPrinted>2019-03-21T11:55:49Z</cp:lastPrinted>
  <dcterms:modified xsi:type="dcterms:W3CDTF">2019-03-21T15:14:05Z</dcterms:modified>
  <cp:revision>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